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1E56" w14:textId="77777777" w:rsidR="007B35BE" w:rsidRPr="00781112" w:rsidRDefault="007B35BE" w:rsidP="0033429D">
      <w:pPr>
        <w:autoSpaceDE w:val="0"/>
        <w:autoSpaceDN w:val="0"/>
        <w:adjustRightInd w:val="0"/>
        <w:spacing w:before="1800"/>
        <w:jc w:val="center"/>
        <w:rPr>
          <w:rFonts w:cs="Arial"/>
          <w:b/>
          <w:bCs/>
          <w:smallCaps/>
          <w:color w:val="000000" w:themeColor="text1"/>
          <w:sz w:val="32"/>
          <w:szCs w:val="32"/>
        </w:rPr>
      </w:pPr>
      <w:bookmarkStart w:id="0" w:name="_Hlk121691473"/>
      <w:bookmarkStart w:id="1" w:name="_Toc382082357"/>
      <w:bookmarkStart w:id="2" w:name="_Toc392159258"/>
      <w:bookmarkStart w:id="3" w:name="_Hlk110866287"/>
      <w:bookmarkEnd w:id="0"/>
      <w:r w:rsidRPr="00781112">
        <w:rPr>
          <w:rFonts w:cs="Arial"/>
          <w:b/>
          <w:bCs/>
          <w:smallCaps/>
          <w:color w:val="000000" w:themeColor="text1"/>
          <w:sz w:val="32"/>
          <w:szCs w:val="32"/>
        </w:rPr>
        <w:t>State Performance Plan / Annual Performance Report: Part B</w:t>
      </w:r>
    </w:p>
    <w:p w14:paraId="775F9C1C" w14:textId="05570B0D"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29F4DA54" w14:textId="450F569A"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F46F21">
        <w:rPr>
          <w:rFonts w:cs="Arial"/>
          <w:b/>
          <w:bCs/>
          <w:color w:val="000000" w:themeColor="text1"/>
          <w:sz w:val="28"/>
          <w:szCs w:val="28"/>
        </w:rPr>
        <w:t>2021</w:t>
      </w:r>
    </w:p>
    <w:p w14:paraId="3168A19B"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Oklahoma</w:t>
      </w:r>
    </w:p>
    <w:p w14:paraId="160C9007"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7AFE126A" w14:textId="787A231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1, 2023</w:t>
      </w:r>
    </w:p>
    <w:p w14:paraId="00155D5B"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4EAB0E73" w14:textId="660D4F64"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27ABABDC" w14:textId="7FECEC69"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3F368203" w14:textId="77777777" w:rsidR="00AB39FB" w:rsidRPr="00781112" w:rsidRDefault="00AB39FB" w:rsidP="007B35BE">
      <w:pPr>
        <w:jc w:val="center"/>
        <w:rPr>
          <w:rFonts w:cs="Arial"/>
          <w:b/>
          <w:bCs/>
          <w:color w:val="000000" w:themeColor="text1"/>
          <w:sz w:val="18"/>
          <w:szCs w:val="18"/>
        </w:rPr>
      </w:pPr>
    </w:p>
    <w:p w14:paraId="0E7D29A1" w14:textId="2C077CCB" w:rsidR="00AF5649" w:rsidRPr="00781112" w:rsidRDefault="00AF5649" w:rsidP="007D435F">
      <w:pPr>
        <w:pStyle w:val="Heading1"/>
        <w:rPr>
          <w:rFonts w:cs="Arial"/>
          <w:color w:val="000000" w:themeColor="text1"/>
          <w:szCs w:val="20"/>
        </w:rPr>
      </w:pPr>
      <w:r w:rsidRPr="00781112">
        <w:rPr>
          <w:rFonts w:cs="Arial"/>
          <w:color w:val="000000" w:themeColor="text1"/>
          <w:szCs w:val="20"/>
        </w:rPr>
        <w:t>Introduction</w:t>
      </w:r>
    </w:p>
    <w:p w14:paraId="5B9171B6" w14:textId="1B94FDAA" w:rsidR="007742F1" w:rsidRPr="00781112" w:rsidRDefault="007742F1" w:rsidP="00A018D4">
      <w:pPr>
        <w:rPr>
          <w:rFonts w:asciiTheme="majorHAnsi" w:hAnsiTheme="majorHAnsi"/>
          <w:color w:val="000000" w:themeColor="text1"/>
          <w:sz w:val="20"/>
          <w:szCs w:val="20"/>
        </w:rPr>
      </w:pPr>
      <w:r w:rsidRPr="00781112">
        <w:rPr>
          <w:b/>
          <w:color w:val="000000" w:themeColor="text1"/>
          <w:sz w:val="20"/>
          <w:szCs w:val="20"/>
        </w:rPr>
        <w:t>Instructions</w:t>
      </w:r>
    </w:p>
    <w:p w14:paraId="696881EF" w14:textId="783B44AF"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4A333302" w14:textId="1EA6D8FF" w:rsidR="007742F1" w:rsidRPr="00781112" w:rsidRDefault="00684B51" w:rsidP="008645AD">
      <w:pPr>
        <w:pStyle w:val="Heading2"/>
      </w:pPr>
      <w:r w:rsidRPr="00781112">
        <w:t xml:space="preserve">Intro - </w:t>
      </w:r>
      <w:r w:rsidR="007742F1" w:rsidRPr="00781112">
        <w:t>Indicator Data</w:t>
      </w:r>
    </w:p>
    <w:p w14:paraId="72B2C3E7" w14:textId="53819907" w:rsidR="00AF5649" w:rsidRPr="00781112" w:rsidRDefault="00AF5649" w:rsidP="004369B2">
      <w:pPr>
        <w:rPr>
          <w:color w:val="000000" w:themeColor="text1"/>
        </w:rPr>
      </w:pPr>
      <w:r w:rsidRPr="00781112">
        <w:rPr>
          <w:b/>
          <w:color w:val="000000" w:themeColor="text1"/>
        </w:rPr>
        <w:t xml:space="preserve">Executive Summary </w:t>
      </w:r>
    </w:p>
    <w:p w14:paraId="04B2974F" w14:textId="0DF01750" w:rsidR="000C24C2" w:rsidRPr="00781112" w:rsidRDefault="002B7490" w:rsidP="00AF5649">
      <w:pPr>
        <w:rPr>
          <w:rFonts w:cs="Arial"/>
          <w:color w:val="000000" w:themeColor="text1"/>
          <w:szCs w:val="16"/>
        </w:rPr>
      </w:pPr>
      <w:r w:rsidRPr="00781112">
        <w:rPr>
          <w:rFonts w:cs="Arial"/>
          <w:color w:val="000000" w:themeColor="text1"/>
          <w:szCs w:val="16"/>
        </w:rPr>
        <w:t xml:space="preserve">Seventeen accountability indicators are reported to the Office of Special Education Programming (OSEP) on an annual basis, including the State Systemic Improvement Plan (SSIP) measure and report. Indicator data are drawn from the district end-of-year reports, October child counts, and various other sources (including annual assessment reports and parent and student surveys). LEAs are responsible to the Oklahoma State Department of Education, Office of Special Education Services (OSDE-SES) for meeting a target for each indicator, just as the State is responsible to OSEP. OSDE-SES uses a District Data Profile tool to share results with the LEAs annually. </w:t>
      </w:r>
      <w:r w:rsidRPr="00781112">
        <w:rPr>
          <w:rFonts w:cs="Arial"/>
          <w:color w:val="000000" w:themeColor="text1"/>
          <w:szCs w:val="16"/>
        </w:rPr>
        <w:br/>
      </w:r>
      <w:r w:rsidRPr="00781112">
        <w:rPr>
          <w:rFonts w:cs="Arial"/>
          <w:color w:val="000000" w:themeColor="text1"/>
          <w:szCs w:val="16"/>
        </w:rPr>
        <w:br/>
        <w:t>FFY 2021 Highlights</w:t>
      </w:r>
      <w:r w:rsidRPr="00781112">
        <w:rPr>
          <w:rFonts w:cs="Arial"/>
          <w:color w:val="000000" w:themeColor="text1"/>
          <w:szCs w:val="16"/>
        </w:rPr>
        <w:br/>
        <w:t xml:space="preserve">A. Assessment results (indicator 3) improved in several areas in spring 2022. Participation rates increased substantially in all three grades by five percentage points or more. Proficiency rates of students with disabilities also increased on the general assessment and all targets were met but one, while proficiency decreased in both 4th and 11th grades on the alternate assessment. Unfortunately, the gap in proficiency between all students and students with disabilities increased in every grade and subject area, and no targets were met. </w:t>
      </w:r>
      <w:r w:rsidRPr="00781112">
        <w:rPr>
          <w:rFonts w:cs="Arial"/>
          <w:color w:val="000000" w:themeColor="text1"/>
          <w:szCs w:val="16"/>
        </w:rPr>
        <w:br/>
        <w:t>B. Early childhood outcomes improved across the state in five of the six categories, and all targets but one were met (indicator 7).</w:t>
      </w:r>
      <w:r w:rsidRPr="00781112">
        <w:rPr>
          <w:rFonts w:cs="Arial"/>
          <w:color w:val="000000" w:themeColor="text1"/>
          <w:szCs w:val="16"/>
        </w:rPr>
        <w:br/>
        <w:t>C. Districts maintained or improved compliance with IDEA rules for a) timeliness of completion of evaluations and IEPs (indicators 11 and 12), b) completeness of secondary transition components (indicator 13), and c) equitable identification and discipline (indicators 4, 9, 10).</w:t>
      </w:r>
      <w:r w:rsidRPr="00781112">
        <w:rPr>
          <w:rFonts w:cs="Arial"/>
          <w:color w:val="000000" w:themeColor="text1"/>
          <w:szCs w:val="16"/>
        </w:rPr>
        <w:br/>
        <w:t>D. The impact of the pandemic continued to have a highly negative effect on graduation and dropout rates in SY 20-21 (indicators 1 &amp; 2), the most recent federal data available. SY 21-22 data show marked improvement, but these are not yet published.</w:t>
      </w:r>
      <w:r w:rsidRPr="00781112">
        <w:rPr>
          <w:rFonts w:cs="Arial"/>
          <w:color w:val="000000" w:themeColor="text1"/>
          <w:szCs w:val="16"/>
        </w:rPr>
        <w:br/>
        <w:t>E. Outcomes after high school generally improved in SY 21-22, with more former special education students working or otherwise engaged (outside of higher education) than the prior year (indicator 14).</w:t>
      </w:r>
    </w:p>
    <w:p w14:paraId="223A8781" w14:textId="77777777" w:rsidR="00757D21" w:rsidRPr="00781112" w:rsidRDefault="00757D21" w:rsidP="002536C1">
      <w:pPr>
        <w:rPr>
          <w:b/>
          <w:bCs/>
        </w:rPr>
      </w:pPr>
      <w:r w:rsidRPr="00781112">
        <w:rPr>
          <w:b/>
          <w:bCs/>
        </w:rPr>
        <w:t>Additional information related to data collection and reporting</w:t>
      </w:r>
    </w:p>
    <w:p w14:paraId="614EAC72" w14:textId="596641E7" w:rsidR="00757D21" w:rsidRPr="00781112" w:rsidRDefault="00757D21">
      <w:pPr>
        <w:rPr>
          <w:b/>
          <w:color w:val="000000" w:themeColor="text1"/>
        </w:rPr>
      </w:pPr>
      <w:r w:rsidRPr="00781112">
        <w:rPr>
          <w:color w:val="000000" w:themeColor="text1"/>
        </w:rPr>
        <w:t xml:space="preserve">Oklahoma’s data collection period for the FFY 2021 APR occurred between July 1, 2021 and June 2022 for most indicators (excepting 1, 2 and 4). The state collects and maintains all Part B special education services, eligibility and IEP records in a real-time, web-based data system called EDPlan. All data related to the student and his or her IEP services are entered directly into the electronic record by staff at each LEA. The state pulls much of the data that populate the APR directly from student records in aggregate, which LEA personnel review before certifying as accurate and complete. </w:t>
      </w:r>
      <w:r w:rsidRPr="00781112">
        <w:rPr>
          <w:color w:val="000000" w:themeColor="text1"/>
        </w:rPr>
        <w:br/>
      </w:r>
      <w:r w:rsidRPr="00781112">
        <w:rPr>
          <w:color w:val="000000" w:themeColor="text1"/>
        </w:rPr>
        <w:br/>
        <w:t>EDPlan is also the source of data utilized for reporting the annual exiting, discipline, related service and paraprofessional personnel reports, and the annual Child Count. The EDPlan database is maintained by a private vendor. Systems are in place through a contractual agreement for periodic upgrades and revisions to data collection functionality and content.</w:t>
      </w:r>
      <w:r w:rsidRPr="00781112">
        <w:rPr>
          <w:color w:val="000000" w:themeColor="text1"/>
        </w:rPr>
        <w:br/>
        <w:t xml:space="preserve">Other data sources include annual assessment data, parent and post-secondary outcome surveys, and dispute resolution accounts. These data sources are maintained or managed by outside offices or organizations with oversight by OSDE-SES. </w:t>
      </w:r>
    </w:p>
    <w:p w14:paraId="4ADBDC7F" w14:textId="2CA8C30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36C38539" w14:textId="1E194795" w:rsidR="00AF5649" w:rsidRPr="00781112" w:rsidRDefault="002B7490" w:rsidP="004369B2">
      <w:pPr>
        <w:rPr>
          <w:color w:val="000000" w:themeColor="text1"/>
        </w:rPr>
      </w:pPr>
      <w:r w:rsidRPr="00781112">
        <w:rPr>
          <w:color w:val="000000" w:themeColor="text1"/>
        </w:rPr>
        <w:t>544</w:t>
      </w:r>
    </w:p>
    <w:p w14:paraId="785B8E3E" w14:textId="5E29FFD5" w:rsidR="00AF5649" w:rsidRPr="00781112" w:rsidRDefault="00AF5649" w:rsidP="004369B2">
      <w:pPr>
        <w:rPr>
          <w:color w:val="000000" w:themeColor="text1"/>
        </w:rPr>
      </w:pPr>
      <w:r w:rsidRPr="00781112">
        <w:rPr>
          <w:b/>
          <w:color w:val="000000" w:themeColor="text1"/>
        </w:rPr>
        <w:t>General Supervision System:</w:t>
      </w:r>
    </w:p>
    <w:p w14:paraId="6B6CEAB0" w14:textId="77777777" w:rsidR="00AF5649" w:rsidRPr="00781112" w:rsidRDefault="00AF5649" w:rsidP="00AF5649">
      <w:pPr>
        <w:rPr>
          <w:rFonts w:cs="Arial"/>
          <w:b/>
          <w:color w:val="000000" w:themeColor="text1"/>
          <w:szCs w:val="16"/>
        </w:rPr>
      </w:pPr>
      <w:r w:rsidRPr="00781112">
        <w:rPr>
          <w:rFonts w:cs="Arial"/>
          <w:b/>
          <w:color w:val="000000" w:themeColor="text1"/>
          <w:szCs w:val="16"/>
        </w:rPr>
        <w:t>The systems that are in place to ensure that IDEA Part B requirements are met, e.g., monitoring, dispute resolution, etc.</w:t>
      </w:r>
    </w:p>
    <w:p w14:paraId="7941FC2D" w14:textId="30866F75" w:rsidR="000C24C2" w:rsidRPr="00781112" w:rsidRDefault="002B7490" w:rsidP="00AF5649">
      <w:pPr>
        <w:rPr>
          <w:rFonts w:cs="Arial"/>
          <w:color w:val="000000" w:themeColor="text1"/>
          <w:szCs w:val="16"/>
        </w:rPr>
      </w:pPr>
      <w:r w:rsidRPr="00781112">
        <w:rPr>
          <w:rFonts w:cs="Arial"/>
          <w:color w:val="000000" w:themeColor="text1"/>
          <w:szCs w:val="16"/>
        </w:rPr>
        <w:t xml:space="preserve">Oklahoma’s general supervision system is designed to ensure the implementation of the Individuals with Disabilities Education Improvement Act (IDEA) of 2004. The main purpose of the State system is to support and build capacity for effective implementation of the IDEA by the State and local education agencies (LEAs), in order to improve outcomes for students with disabilities in Oklahoma. This system is designed to: a) ensure compliance with federal and state regulations and b) improve services and results for students with disabilities. </w:t>
      </w:r>
      <w:r w:rsidRPr="00781112">
        <w:rPr>
          <w:rFonts w:cs="Arial"/>
          <w:color w:val="000000" w:themeColor="text1"/>
          <w:szCs w:val="16"/>
        </w:rPr>
        <w:br/>
      </w:r>
      <w:r w:rsidRPr="00781112">
        <w:rPr>
          <w:rFonts w:cs="Arial"/>
          <w:color w:val="000000" w:themeColor="text1"/>
          <w:szCs w:val="16"/>
        </w:rPr>
        <w:br/>
        <w:t>Policies, Procedures, and Effective Implementation</w:t>
      </w:r>
      <w:r w:rsidRPr="00781112">
        <w:rPr>
          <w:rFonts w:cs="Arial"/>
          <w:color w:val="000000" w:themeColor="text1"/>
          <w:szCs w:val="16"/>
        </w:rPr>
        <w:br/>
        <w:t>Oklahoma’s special education policies and procedures support state and local implementation of the IDEA. Agencies responsible for special education and related services must abide by Oklahoma State law, policies, procedures, and the federal regulations for the IDEA Part B and C. Agencies having these responsibilities are: local educational agencies (LEA), public charter schools not otherwise included as LEAs, other public agencies (e.g., State schools for students with deafness and blindness and State and local juvenile and adult correctional facilities), and accredited private schools and facilities as described in the applicable federal regulations and established by Oklahoma State laws. The OSDE-SES has outlined specific strategies for implementation of the IDEA in the Oklahoma Special Education Services Policies and Procedures. Additional information about Oklahoma’s policies and procedures is included in the Evaluation and Eligibility Handbook and Oklahoma’s Secondary Transition Handbook. LEAs are responsible for developing policies and procedures that align with state guidance and IDEA and ensuring effective implementation. LEAs are required annually to complete the Local Education Agency Agreement for Special Education in Oklahoma which ensures all eligible students in the LEA will have access to a free and appropriate public education (FAPE) (34 CFR § 300.17). In addition, LEAs are required to submit Local Education Agency Assurances which demonstrate that the LEA understands its responsibilities under the IDEA. All handbooks and guides are available on the OSDE-SES website at https://sde.ok.gov/special-education and https://sde.ok.gov/documents-forms.</w:t>
      </w:r>
      <w:r w:rsidRPr="00781112">
        <w:rPr>
          <w:rFonts w:cs="Arial"/>
          <w:color w:val="000000" w:themeColor="text1"/>
          <w:szCs w:val="16"/>
        </w:rPr>
        <w:br/>
      </w:r>
      <w:r w:rsidRPr="00781112">
        <w:rPr>
          <w:rFonts w:cs="Arial"/>
          <w:color w:val="000000" w:themeColor="text1"/>
          <w:szCs w:val="16"/>
        </w:rPr>
        <w:br/>
        <w:t>IDEA B State Advisory Panel</w:t>
      </w:r>
      <w:r w:rsidRPr="00781112">
        <w:rPr>
          <w:rFonts w:cs="Arial"/>
          <w:color w:val="000000" w:themeColor="text1"/>
          <w:szCs w:val="16"/>
        </w:rPr>
        <w:br/>
        <w:t xml:space="preserve">The OSDE-SES develops policies and procedures with the support of the IDEA B State Advisory Panel. The IDEA B State Advisory Panel for Special Education serves as an advisory group to the OSDE-SES on issues related to special education and related services for students with disabilities (34 CFR §300.167). The Panel includes the following stakeholders: parents of students with disabilities; individuals with disabilities; state and local education officials; state and local agency representatives; general and special education school administrators and teachers; advocacy groups; representatives of institutions of higher education that prepare special education and related services personnel; representatives of private schools and charter schools; representatives of vocational, community, and business organizations concerned with the provision of transition services to youth with disabilities; and representatives of state juvenile and corrections agencies (34 CFR §300.168). The Panel participates in the annual review and revision of the SPP/APR, including the development of state targets, the review of data of improvement activities, and making suggestions for updates to the activities and targets. </w:t>
      </w:r>
      <w:r w:rsidRPr="00781112">
        <w:rPr>
          <w:rFonts w:cs="Arial"/>
          <w:color w:val="000000" w:themeColor="text1"/>
          <w:szCs w:val="16"/>
        </w:rPr>
        <w:lastRenderedPageBreak/>
        <w:t>More information, including the IDEA B State Advisory Panel Operating Guidelines, can be found here: http://ok.gov/sde/idea-b-advisory-panel.</w:t>
      </w:r>
      <w:r w:rsidRPr="00781112">
        <w:rPr>
          <w:rFonts w:cs="Arial"/>
          <w:color w:val="000000" w:themeColor="text1"/>
          <w:szCs w:val="16"/>
        </w:rPr>
        <w:br/>
      </w:r>
      <w:r w:rsidRPr="00781112">
        <w:rPr>
          <w:rFonts w:cs="Arial"/>
          <w:color w:val="000000" w:themeColor="text1"/>
          <w:szCs w:val="16"/>
        </w:rPr>
        <w:br/>
        <w:t>Integrated Monitoring</w:t>
      </w:r>
      <w:r w:rsidRPr="00781112">
        <w:rPr>
          <w:rFonts w:cs="Arial"/>
          <w:color w:val="000000" w:themeColor="text1"/>
          <w:szCs w:val="16"/>
        </w:rPr>
        <w:br/>
        <w:t>Refer to https://sde.ok.gov/differentiated-monitoring-results for the general supervision system manual that governs differentiated monitoring and compliance monitoring.</w:t>
      </w:r>
      <w:r w:rsidRPr="00781112">
        <w:rPr>
          <w:rFonts w:cs="Arial"/>
          <w:color w:val="000000" w:themeColor="text1"/>
          <w:szCs w:val="16"/>
        </w:rPr>
        <w:br/>
      </w:r>
      <w:r w:rsidRPr="00781112">
        <w:rPr>
          <w:rFonts w:cs="Arial"/>
          <w:color w:val="000000" w:themeColor="text1"/>
          <w:szCs w:val="16"/>
        </w:rPr>
        <w:br/>
        <w:t>Federal Fiscal Management</w:t>
      </w:r>
      <w:r w:rsidRPr="00781112">
        <w:rPr>
          <w:rFonts w:cs="Arial"/>
          <w:color w:val="000000" w:themeColor="text1"/>
          <w:szCs w:val="16"/>
        </w:rPr>
        <w:br/>
        <w:t xml:space="preserve">Oklahoma’s system of general supervision includes a process to provide oversight in the distribution and use of IDEA funds at the State and local level. Information on these processes can be found in the Special Education Funding Manual for IDEA Part B found at http://sde.ok.gov/finance. Each LEA must complete Assurances and Agreements annually at the beginning of each fiscal year. This activity must take place before the IDEA Consolidated Application is available for LEAs to budget IDEA Part B funds. </w:t>
      </w:r>
      <w:r w:rsidRPr="00781112">
        <w:rPr>
          <w:rFonts w:cs="Arial"/>
          <w:color w:val="000000" w:themeColor="text1"/>
          <w:szCs w:val="16"/>
        </w:rPr>
        <w:br/>
      </w:r>
      <w:r w:rsidRPr="00781112">
        <w:rPr>
          <w:rFonts w:cs="Arial"/>
          <w:color w:val="000000" w:themeColor="text1"/>
          <w:szCs w:val="16"/>
        </w:rPr>
        <w:br/>
        <w:t xml:space="preserve">Data on Processes and Results </w:t>
      </w:r>
      <w:r w:rsidRPr="00781112">
        <w:rPr>
          <w:rFonts w:cs="Arial"/>
          <w:color w:val="000000" w:themeColor="text1"/>
          <w:szCs w:val="16"/>
        </w:rPr>
        <w:br/>
        <w:t>As part of Oklahoma’s general supervision responsibilities, data are used for decision making about program management and improvement. This process includes: (1) data collection and verification, (2) data examination and analysis, (3) public reporting of data, (4) status determination, and (5) improvement activities. The OSDE-SES posts information on its website to support LEAs as they work to improve their data collection and reporting capacity. Such information includes data collection and reporting guidance, definitions, timelines, and templates. (http://sde.ok.gov/sde/documents/2012-10-01/special-education-data-and-reporting-part-b-children-ages-3-through-21)</w:t>
      </w:r>
      <w:r w:rsidRPr="00781112">
        <w:rPr>
          <w:rFonts w:cs="Arial"/>
          <w:color w:val="000000" w:themeColor="text1"/>
          <w:szCs w:val="16"/>
        </w:rPr>
        <w:br/>
      </w:r>
      <w:r w:rsidRPr="00781112">
        <w:rPr>
          <w:rFonts w:cs="Arial"/>
          <w:color w:val="000000" w:themeColor="text1"/>
          <w:szCs w:val="16"/>
        </w:rPr>
        <w:br/>
        <w:t xml:space="preserve">Effective Dispute Resolution </w:t>
      </w:r>
      <w:r w:rsidRPr="00781112">
        <w:rPr>
          <w:rFonts w:cs="Arial"/>
          <w:color w:val="000000" w:themeColor="text1"/>
          <w:szCs w:val="16"/>
        </w:rPr>
        <w:br/>
        <w:t>Several mechanisms are available through the OSDE to assist in resolving disputes (see http://sde.ok.gov/sde/special-education-dispute-resolution). These processes include IEP facilitation, mediation, formal complaints, due process hearings, facilitated resolution sessions and expedited due process hearings. The Special Education Resolution Center (SERC) manages the special education due process hearing system for the State of Oklahoma. SERC’s duties have been expanded to implement innovative programs to assist parents and LEAs to settle disputes at the earliest stage possible. At no cost to either party, SERC provides highly trained mediators to assist with disputes which may develop at any time during the relationship of the parties over special education issues and highly trained facilitators during required resolution sessions of due process. SERC also provides stakeholder training that supports mutual collaboration. More information on SERC can be located at https://ok.gov/abletech/Special_Education_Resolution_Center/.</w:t>
      </w:r>
    </w:p>
    <w:p w14:paraId="26D57A13" w14:textId="589F2D22" w:rsidR="00AF5649" w:rsidRPr="00781112" w:rsidRDefault="00AF5649" w:rsidP="004369B2">
      <w:pPr>
        <w:rPr>
          <w:color w:val="000000" w:themeColor="text1"/>
        </w:rPr>
      </w:pPr>
      <w:r w:rsidRPr="00781112">
        <w:rPr>
          <w:b/>
          <w:color w:val="000000" w:themeColor="text1"/>
        </w:rPr>
        <w:t>Technical Assistance System:</w:t>
      </w:r>
    </w:p>
    <w:p w14:paraId="66B8EA84" w14:textId="2BA80156" w:rsidR="00AF5649" w:rsidRPr="00781112" w:rsidRDefault="00AF5649" w:rsidP="00AF5649">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evidenced based technical assistance and support to LEAs.</w:t>
      </w:r>
    </w:p>
    <w:p w14:paraId="46AFA65A" w14:textId="31299B5B" w:rsidR="000C24C2" w:rsidRPr="00781112" w:rsidRDefault="002B7490" w:rsidP="007925C6">
      <w:pPr>
        <w:rPr>
          <w:rFonts w:cs="Arial"/>
          <w:color w:val="000000" w:themeColor="text1"/>
          <w:szCs w:val="16"/>
        </w:rPr>
      </w:pPr>
      <w:r w:rsidRPr="00781112">
        <w:rPr>
          <w:rFonts w:cs="Arial"/>
          <w:color w:val="000000" w:themeColor="text1"/>
          <w:szCs w:val="16"/>
        </w:rPr>
        <w:t xml:space="preserve">Technical Assistance (TA) is designed to link directly to indicators in the SPP/APR and to improve the level of compliance in LEAs. The comprehensive approach to technical assistance enables the OSDE-SES to differentiate the scope of services provided for LEAs based on local needs. For example, the OSDE-SES makes TA available for all LEAs, such as meetings with local LEAs, webinars to support compliant implementation of the IDEA, updates via email, webinars, and in-person training on a variety of topics: </w:t>
      </w:r>
      <w:r w:rsidRPr="00781112">
        <w:rPr>
          <w:rFonts w:cs="Arial"/>
          <w:color w:val="000000" w:themeColor="text1"/>
          <w:szCs w:val="16"/>
        </w:rPr>
        <w:br/>
        <w:t xml:space="preserve">• the Oklahoma Special Education Services Policies and Procedures, </w:t>
      </w:r>
      <w:r w:rsidRPr="00781112">
        <w:rPr>
          <w:rFonts w:cs="Arial"/>
          <w:color w:val="000000" w:themeColor="text1"/>
          <w:szCs w:val="16"/>
        </w:rPr>
        <w:br/>
        <w:t>• best practices for the use and implementation of accommodations,</w:t>
      </w:r>
      <w:r w:rsidRPr="00781112">
        <w:rPr>
          <w:rFonts w:cs="Arial"/>
          <w:color w:val="000000" w:themeColor="text1"/>
          <w:szCs w:val="16"/>
        </w:rPr>
        <w:br/>
        <w:t>• the special education online IEP system,</w:t>
      </w:r>
      <w:r w:rsidRPr="00781112">
        <w:rPr>
          <w:rFonts w:cs="Arial"/>
          <w:color w:val="000000" w:themeColor="text1"/>
          <w:szCs w:val="16"/>
        </w:rPr>
        <w:br/>
        <w:t>• high quality IDEA documents,</w:t>
      </w:r>
      <w:r w:rsidRPr="00781112">
        <w:rPr>
          <w:rFonts w:cs="Arial"/>
          <w:color w:val="000000" w:themeColor="text1"/>
          <w:szCs w:val="16"/>
        </w:rPr>
        <w:br/>
        <w:t>• high quality data collection and reporting,</w:t>
      </w:r>
      <w:r w:rsidRPr="00781112">
        <w:rPr>
          <w:rFonts w:cs="Arial"/>
          <w:color w:val="000000" w:themeColor="text1"/>
          <w:szCs w:val="16"/>
        </w:rPr>
        <w:br/>
        <w:t xml:space="preserve">• the differentiated monitoring process, and </w:t>
      </w:r>
      <w:r w:rsidRPr="00781112">
        <w:rPr>
          <w:rFonts w:cs="Arial"/>
          <w:color w:val="000000" w:themeColor="text1"/>
          <w:szCs w:val="16"/>
        </w:rPr>
        <w:br/>
        <w:t>• high quality financial accountability and budgeting, among others.</w:t>
      </w:r>
      <w:r w:rsidRPr="00781112">
        <w:rPr>
          <w:rFonts w:cs="Arial"/>
          <w:color w:val="000000" w:themeColor="text1"/>
          <w:szCs w:val="16"/>
        </w:rPr>
        <w:br/>
      </w:r>
      <w:r w:rsidRPr="00781112">
        <w:rPr>
          <w:rFonts w:cs="Arial"/>
          <w:color w:val="000000" w:themeColor="text1"/>
          <w:szCs w:val="16"/>
        </w:rPr>
        <w:br/>
        <w:t>Basic TA includes providing documentation of evidence-based practices and disseminating examples of success to assist others in planning, implementation and use of tools to achieve positive outcomes. TA ranges from general levels, such as providing a review of best practices, to providing targeted technical assistance (TTA), which includes more focused levels of support such as the state directing root cause analysis and monitoring of CAP development and subsequent correction  described at https://sde.ok.gov/differentiated-monitoring-results-indicators.</w:t>
      </w:r>
      <w:r w:rsidRPr="00781112">
        <w:rPr>
          <w:rFonts w:cs="Arial"/>
          <w:color w:val="000000" w:themeColor="text1"/>
          <w:szCs w:val="16"/>
        </w:rPr>
        <w:br/>
      </w:r>
      <w:r w:rsidRPr="00781112">
        <w:rPr>
          <w:rFonts w:cs="Arial"/>
          <w:color w:val="000000" w:themeColor="text1"/>
          <w:szCs w:val="16"/>
        </w:rPr>
        <w:br/>
        <w:t>TTA includes a purposeful and planned series of activities that result in changes to policy, program, or operations that support increased capacity at the state/system/school levels. LEAs can access resources for technical assistance on the OSDE-SES webpage and request technical assistance via a help desk form on the OSDE-SES webpage or by contacting via phone or email. The OSDE-SES has created multiple self-assessments based on OSEP indicators and other special education areas for use by LEAs in determining their level of compliance and/or best practice. The self-assessments can be used at the classroom, school, or district level. For more information please see http://sde.ok.gov/sde/ses-tech-assistance. LEAs may also conduct the School Level Technical Assistance Survey to help determine areas in need of assistance. The OSDE-SES’s role in this process is to: a) provide data and information as requested; b) provide technical assistance and professional development; c) provide guidance on the development and implementation of improvement plans; and d) ensure compliance with the IDEA and State regulations regarding the provision of special education services.</w:t>
      </w:r>
    </w:p>
    <w:p w14:paraId="31C31C58" w14:textId="6D9367D0" w:rsidR="00AF5649" w:rsidRPr="00781112" w:rsidRDefault="00AF5649" w:rsidP="004369B2">
      <w:pPr>
        <w:rPr>
          <w:color w:val="000000" w:themeColor="text1"/>
        </w:rPr>
      </w:pPr>
      <w:r w:rsidRPr="00781112">
        <w:rPr>
          <w:b/>
          <w:color w:val="000000" w:themeColor="text1"/>
        </w:rPr>
        <w:t>Professional Development System:</w:t>
      </w:r>
    </w:p>
    <w:p w14:paraId="25232CAB" w14:textId="27BBB72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0B77B8C1" w14:textId="3CE3A35D" w:rsidR="007742F1" w:rsidRPr="00781112" w:rsidRDefault="002B7490" w:rsidP="007925C6">
      <w:pPr>
        <w:rPr>
          <w:rFonts w:cs="Arial"/>
          <w:color w:val="000000" w:themeColor="text1"/>
          <w:szCs w:val="16"/>
        </w:rPr>
      </w:pPr>
      <w:r w:rsidRPr="00781112">
        <w:rPr>
          <w:rFonts w:cs="Arial"/>
          <w:color w:val="000000" w:themeColor="text1"/>
          <w:szCs w:val="16"/>
        </w:rPr>
        <w:t>Professional Development ranges from a basic level of providing general information to targeted and intensive PD, which is focused on data driven school improvement in LEAs, schools and classrooms. The OSDE-SES offers PD or suggests PD resources based on various concerns in collaboration with other divisions in the agency. PD is provided in three ways: 1) as requested by LEAs, school sites, teachers, or other interested stakeholders; 2) providing professional development resources for use by LEAs, school sites, teachers, or other interested stakeholders; and 3) as part of regional or statewide conferences hosted by the OSDE, other state agencies, or technical assistance centers. The OSDE-SES has also implemented an online professional development platform (PEPPER) accessible through the online IEP system and webpage and provides courses to teachers and the general public through OSDE's online training site. Special Education teachers and staff have access to additional modules and may be directed by district leadership or the OSDE-SES, through compliance monitoring, to complete selected modules.</w:t>
      </w:r>
      <w:r w:rsidRPr="00781112">
        <w:rPr>
          <w:rFonts w:cs="Arial"/>
          <w:color w:val="000000" w:themeColor="text1"/>
          <w:szCs w:val="16"/>
        </w:rPr>
        <w:br/>
      </w:r>
      <w:r w:rsidRPr="00781112">
        <w:rPr>
          <w:rFonts w:cs="Arial"/>
          <w:color w:val="000000" w:themeColor="text1"/>
          <w:szCs w:val="16"/>
        </w:rPr>
        <w:br/>
        <w:t xml:space="preserve">The OSDE-SES also offers PD resources through the agency’s online learning management system (CANVAS) and its online IEP site’s training system (PCG Pepper). The OSDE-SES has created Professional Development modules for use by LEAs, schools, and other interested stakeholders that are shared through CANVAS (more information is provided at http://sde.ok.gov/sde/professional-development-directory). These modules are intended for use in a workshop or other professional development settings. When LEAs or schools identify a particular PD need for special education, they can easily access PD modules and provide local PD in a timely fashion. Importantly, these modules are intended to build coherence around best practices for the provision of special education services. Each module includes relevant background information, activities/materials, content quizzes, and a scripted PowerPoint presentation for a particular topic area. Requests for technical assistance and professional development form the OSDE-SES can be made </w:t>
      </w:r>
      <w:r w:rsidRPr="00781112">
        <w:rPr>
          <w:rFonts w:cs="Arial"/>
          <w:color w:val="000000" w:themeColor="text1"/>
          <w:szCs w:val="16"/>
        </w:rPr>
        <w:lastRenderedPageBreak/>
        <w:t>through an online help desk. Requests are tracked to determine areas of LEA need.</w:t>
      </w:r>
      <w:r w:rsidRPr="00781112">
        <w:rPr>
          <w:rFonts w:cs="Arial"/>
          <w:color w:val="000000" w:themeColor="text1"/>
          <w:szCs w:val="16"/>
        </w:rPr>
        <w:br/>
      </w:r>
      <w:r w:rsidRPr="00781112">
        <w:rPr>
          <w:rFonts w:cs="Arial"/>
          <w:color w:val="000000" w:themeColor="text1"/>
          <w:szCs w:val="16"/>
        </w:rPr>
        <w:br/>
        <w:t>Additionally, the OSDE-SES contracts with other agencies and providers to ensure that service providers have the skills to effectively provide services that improve results for children with disabilities. A few examples are agreements with Oklahoma ABLE Tech, the Oklahoma Autism Center, and the Oklahoma Department of Rehabilitation Services. Oklahoma ABLE Tech (https://www.ok.gov/abletech/) provides training on developing AT teams and acquiring AT devices, and collaborates with the OSDE-SES on updates to technical assistance documents for AT and AEM. The Oklahoma Autism Center, through the University of Oklahoma Health Sciences Center, provides comprehensive professional development services to build the state’s capacity for educating children and youth with autism spectrum disorder and related disabilities. This includes providing services statewide to local education agencies, SoonerStart (Part C services), and pre-service educators in teacher and related service preparatory programs. Professional development is provided by maintaining an inclusive model demonstration and training site for observation and hands-on experience and by providing training and technical assistance, including demonstration, coaching and mentoring in the classroom, at LEA sites. Training and support to families is also incorporated into professional development activities. The OSDE-SES also collaborates with the Oklahoma Department of Rehabilitation Services to provide training and professional development regarding secondary transition services, to collaborate on updates to the technical assistance document on secondary transition, and to provide an annual conference on secondary transition.</w:t>
      </w:r>
    </w:p>
    <w:p w14:paraId="0D25C7E9" w14:textId="3ADA39B6" w:rsidR="00AF5649" w:rsidRPr="00781112" w:rsidRDefault="00F72E24" w:rsidP="004369B2">
      <w:pPr>
        <w:rPr>
          <w:color w:val="000000" w:themeColor="text1"/>
        </w:rPr>
      </w:pPr>
      <w:r w:rsidRPr="00781112">
        <w:rPr>
          <w:b/>
          <w:color w:val="000000" w:themeColor="text1"/>
        </w:rPr>
        <w:t>Broad Stakeholder Input:</w:t>
      </w:r>
    </w:p>
    <w:p w14:paraId="0EB1658A" w14:textId="77777777" w:rsidR="006457D1" w:rsidRPr="006457D1" w:rsidRDefault="006457D1" w:rsidP="006457D1">
      <w:pPr>
        <w:rPr>
          <w:rFonts w:cs="Arial"/>
          <w:b/>
          <w:color w:val="000000" w:themeColor="text1"/>
          <w:szCs w:val="16"/>
        </w:rPr>
      </w:pPr>
      <w:r w:rsidRPr="006457D1">
        <w:rPr>
          <w:rFonts w:cs="Arial"/>
          <w:b/>
          <w:color w:val="000000" w:themeColor="text1"/>
          <w:szCs w:val="16"/>
        </w:rPr>
        <w:t>The mechanisms for soliciting broad stakeholder input on the State’s targets in the SPP/APR and any subsequent revisions that the State has made to those targets, and the development and implementation of Indicator 17, the State’s Systemic Improvement Plan (SSIP).</w:t>
      </w:r>
    </w:p>
    <w:p w14:paraId="7621D9ED" w14:textId="6E2BA22E" w:rsidR="000C24C2" w:rsidRPr="00781112" w:rsidRDefault="002B7490" w:rsidP="000C24C2">
      <w:pPr>
        <w:rPr>
          <w:rFonts w:cs="Arial"/>
          <w:color w:val="000000" w:themeColor="text1"/>
          <w:szCs w:val="16"/>
        </w:rPr>
      </w:pPr>
      <w:r w:rsidRPr="00781112">
        <w:rPr>
          <w:rFonts w:cs="Arial"/>
          <w:color w:val="000000" w:themeColor="text1"/>
          <w:szCs w:val="16"/>
        </w:rPr>
        <w:t>All indicator targets were set in the final FFY 2020 report and none was revised in FFY 2021. One indicator’s targets were reviewed by stakeholders after OSEP required a revision to baseline in FFY 2020 (indicator 5). Details about that specific engagement are provided in the indicator report.</w:t>
      </w:r>
      <w:r w:rsidRPr="00781112">
        <w:rPr>
          <w:rFonts w:cs="Arial"/>
          <w:color w:val="000000" w:themeColor="text1"/>
          <w:szCs w:val="16"/>
        </w:rPr>
        <w:br/>
      </w:r>
      <w:r w:rsidRPr="00781112">
        <w:rPr>
          <w:rFonts w:cs="Arial"/>
          <w:color w:val="000000" w:themeColor="text1"/>
          <w:szCs w:val="16"/>
        </w:rPr>
        <w:br/>
        <w:t xml:space="preserve">First, stakeholders were engaged through public meetings and presentations of the SPP/APR and district data profiles at various times during the fiscal year.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 </w:t>
      </w:r>
      <w:r w:rsidRPr="00781112">
        <w:rPr>
          <w:rFonts w:cs="Arial"/>
          <w:color w:val="000000" w:themeColor="text1"/>
          <w:szCs w:val="16"/>
        </w:rPr>
        <w:br/>
      </w:r>
      <w:r w:rsidRPr="00781112">
        <w:rPr>
          <w:rFonts w:cs="Arial"/>
          <w:color w:val="000000" w:themeColor="text1"/>
          <w:szCs w:val="16"/>
        </w:rPr>
        <w:br/>
        <w:t xml:space="preserve">The State Leadership Team for the SSIP has described its efforts to solicit stakeholder input in its indicator 17 report. </w:t>
      </w:r>
    </w:p>
    <w:p w14:paraId="159721AE" w14:textId="7E456FC5" w:rsidR="00084FF1" w:rsidRPr="00781112" w:rsidRDefault="00084FF1" w:rsidP="000C24C2">
      <w:pPr>
        <w:rPr>
          <w:rFonts w:cs="Arial"/>
          <w:b/>
          <w:color w:val="000000" w:themeColor="text1"/>
          <w:szCs w:val="16"/>
        </w:rPr>
      </w:pPr>
      <w:r w:rsidRPr="00781112">
        <w:rPr>
          <w:rFonts w:cs="Arial"/>
          <w:b/>
          <w:color w:val="000000" w:themeColor="text1"/>
          <w:szCs w:val="16"/>
        </w:rPr>
        <w:t>Apply stakeholder involvement from introduction to all Part B results indicators (y/n)</w:t>
      </w:r>
    </w:p>
    <w:p w14:paraId="2E10E7B0" w14:textId="00B67F00" w:rsidR="00FB0D0A" w:rsidRPr="00781112" w:rsidRDefault="002B7490" w:rsidP="004369B2">
      <w:pPr>
        <w:rPr>
          <w:color w:val="000000" w:themeColor="text1"/>
        </w:rPr>
      </w:pPr>
      <w:r w:rsidRPr="00781112">
        <w:rPr>
          <w:color w:val="000000" w:themeColor="text1"/>
        </w:rPr>
        <w:t>NO</w:t>
      </w:r>
    </w:p>
    <w:p w14:paraId="039304C3" w14:textId="77777777" w:rsidR="00F72E24" w:rsidRPr="00781112" w:rsidRDefault="00F72E24" w:rsidP="00F72E24">
      <w:pPr>
        <w:rPr>
          <w:b/>
          <w:color w:val="000000" w:themeColor="text1"/>
        </w:rPr>
      </w:pPr>
      <w:r w:rsidRPr="00781112">
        <w:rPr>
          <w:b/>
          <w:color w:val="000000" w:themeColor="text1"/>
        </w:rPr>
        <w:t>Number of Parent Members:</w:t>
      </w:r>
    </w:p>
    <w:p w14:paraId="3A2A60D7" w14:textId="5F5224C2" w:rsidR="00F72E24" w:rsidRPr="00781112" w:rsidRDefault="00F72E24" w:rsidP="00F72E24">
      <w:pPr>
        <w:rPr>
          <w:color w:val="000000" w:themeColor="text1"/>
          <w:szCs w:val="16"/>
        </w:rPr>
      </w:pPr>
      <w:r w:rsidRPr="00781112">
        <w:rPr>
          <w:color w:val="000000" w:themeColor="text1"/>
          <w:szCs w:val="16"/>
        </w:rPr>
        <w:t>14</w:t>
      </w:r>
    </w:p>
    <w:p w14:paraId="06D1F432" w14:textId="77777777" w:rsidR="00F72E24" w:rsidRPr="00781112" w:rsidRDefault="00F72E24" w:rsidP="00F72E24">
      <w:pPr>
        <w:rPr>
          <w:b/>
          <w:color w:val="000000" w:themeColor="text1"/>
        </w:rPr>
      </w:pPr>
      <w:r w:rsidRPr="00781112">
        <w:rPr>
          <w:b/>
          <w:color w:val="000000" w:themeColor="text1"/>
        </w:rPr>
        <w:t>Parent Members Engagement:</w:t>
      </w:r>
    </w:p>
    <w:p w14:paraId="243421D1" w14:textId="676E095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5A19969A" w14:textId="0D5C2CEC" w:rsidR="00F72E24" w:rsidRPr="00781112" w:rsidRDefault="00F72E24" w:rsidP="00F72E24">
      <w:pPr>
        <w:rPr>
          <w:color w:val="000000" w:themeColor="text1"/>
          <w:szCs w:val="16"/>
        </w:rPr>
      </w:pPr>
      <w:r w:rsidRPr="00781112">
        <w:rPr>
          <w:color w:val="000000" w:themeColor="text1"/>
          <w:szCs w:val="16"/>
        </w:rPr>
        <w:t xml:space="preserve">In FFY 2021, the primary mechanisms used were a public website, public meetings and the IDEA-B SAP. The SAP provides the state the opportunity to engage with more parents than through other venues. It includes 17 parents and individuals with disabilities as members, some of whom also represent a variety of advocacy and agency entities in Oklahoma. Improvement strategies and agency initiatives and programs, progress reviews and data analyses are regularly discussed with the SAP members with the goal of improving outcomes for students with disabilities. </w:t>
      </w:r>
      <w:r w:rsidRPr="00781112">
        <w:rPr>
          <w:color w:val="000000" w:themeColor="text1"/>
          <w:szCs w:val="16"/>
        </w:rPr>
        <w:br/>
      </w:r>
      <w:r w:rsidRPr="00781112">
        <w:rPr>
          <w:color w:val="000000" w:themeColor="text1"/>
          <w:szCs w:val="16"/>
        </w:rPr>
        <w:br/>
        <w:t xml:space="preserve">More specifically, the Oklahoma Parents Center (OPC) co-hosted a meeting with the state in winter 2022 to report the FFY 2021 SPP/APR results. They helped publicize the meeting on social media, published an info-graphic of introductory information, and specifically invited parents to participate. Two parents other than OPC staff participated. </w:t>
      </w:r>
    </w:p>
    <w:p w14:paraId="22B36B69"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362D1ECF"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3BDE813D" w14:textId="522F6FB0" w:rsidR="00F72E24" w:rsidRPr="00781112" w:rsidRDefault="00F72E24" w:rsidP="00F72E24">
      <w:pPr>
        <w:rPr>
          <w:color w:val="000000" w:themeColor="text1"/>
          <w:szCs w:val="16"/>
        </w:rPr>
      </w:pPr>
      <w:r w:rsidRPr="00781112">
        <w:rPr>
          <w:color w:val="000000" w:themeColor="text1"/>
          <w:szCs w:val="16"/>
        </w:rPr>
        <w:t>OSDE-SES has conducted activities to increase the ability of parents to be engaged in the development of implementation activities. First, the state used several outreach mechanisms to ensure that parents from all backgrounds would have the opportunity to participate in stakeholder feedback sessions, including updated website resources for the SPP/APR and the SSIP, notifications and invitations sent through social media and email, and information shared through parent and advocacy organizations across the state. The state worked with the Oklahoma Parent Center in particular to increase outreach to parents and hosted one stakeholder meeting together. Fewer activities were conducted in FFY 2021 because no new target-setting was completed.</w:t>
      </w:r>
      <w:r w:rsidRPr="00781112">
        <w:rPr>
          <w:color w:val="000000" w:themeColor="text1"/>
          <w:szCs w:val="16"/>
        </w:rPr>
        <w:br/>
      </w:r>
      <w:r w:rsidRPr="00781112">
        <w:rPr>
          <w:color w:val="000000" w:themeColor="text1"/>
          <w:szCs w:val="16"/>
        </w:rPr>
        <w:br/>
        <w:t xml:space="preserve">To support parents’ and other participants’ understanding of the SPP/APR data reflecting FFY 2021, the state revised its approach to presenting the data to stakeholders and the IDEA-B SAP. The data were presented in a visually easy to read format, with comparisons to national averages and state targets. Additionally, instead of proceeding sequentially through the indicators, the presenter used a chronological model to reflect how the indicators align with the life cycle of a child with disabilities. Thus, indicators reflecting early childhood data were discussed first and post-secondary outcomes were last. Feedback about the presentation was very positive and participants cited that this was the clearest and easiest to understand presentation of the APR that they had received. </w:t>
      </w:r>
    </w:p>
    <w:p w14:paraId="6210CD83" w14:textId="77777777" w:rsidR="00F72E24" w:rsidRPr="00781112" w:rsidRDefault="00F72E24" w:rsidP="00F72E24">
      <w:pPr>
        <w:rPr>
          <w:b/>
          <w:color w:val="000000" w:themeColor="text1"/>
        </w:rPr>
      </w:pPr>
      <w:r w:rsidRPr="00781112">
        <w:rPr>
          <w:b/>
          <w:color w:val="000000" w:themeColor="text1"/>
        </w:rPr>
        <w:t>Soliciting Public Input:</w:t>
      </w:r>
    </w:p>
    <w:p w14:paraId="39A8F7F4" w14:textId="036934F6"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223D0B8E" w14:textId="16A98311" w:rsidR="00F72E24" w:rsidRPr="00781112" w:rsidRDefault="00F72E24" w:rsidP="00F72E24">
      <w:pPr>
        <w:rPr>
          <w:color w:val="000000" w:themeColor="text1"/>
          <w:szCs w:val="16"/>
        </w:rPr>
      </w:pPr>
      <w:r w:rsidRPr="00781112">
        <w:rPr>
          <w:color w:val="000000" w:themeColor="text1"/>
          <w:szCs w:val="16"/>
        </w:rPr>
        <w:t>Oklahoma used several mechanisms to solicit and collect stakeholder input to inform program development related to the SPP/APR (including the SSIP): online and in-person discussions, surveys, and meeting polling. Meetings and discussions were held with a broad variety of stakeholders, including members of the state’s IDEA B Advisory Panel, parents, district personnel (teachers and administrators), and parent and community advocates. Stakeholders were invited to participate through the Oklahoma Parent Center, social media, and email notices. Information about the SPP/APR has been posted on a public website for all to review (see link below).</w:t>
      </w:r>
    </w:p>
    <w:p w14:paraId="60517C6B" w14:textId="77777777" w:rsidR="001628C0" w:rsidRPr="00781112" w:rsidRDefault="001628C0" w:rsidP="001628C0">
      <w:pPr>
        <w:rPr>
          <w:b/>
          <w:color w:val="000000" w:themeColor="text1"/>
        </w:rPr>
      </w:pPr>
      <w:r w:rsidRPr="00781112">
        <w:rPr>
          <w:b/>
          <w:color w:val="000000" w:themeColor="text1"/>
        </w:rPr>
        <w:t>Making Results Available to the Public:</w:t>
      </w:r>
    </w:p>
    <w:p w14:paraId="311EF023" w14:textId="34EDFFF0"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0AEF38F9" w14:textId="1C0CFAA1" w:rsidR="001628C0" w:rsidRPr="00781112" w:rsidRDefault="001628C0" w:rsidP="001628C0">
      <w:pPr>
        <w:rPr>
          <w:color w:val="000000" w:themeColor="text1"/>
          <w:szCs w:val="16"/>
        </w:rPr>
      </w:pPr>
      <w:r w:rsidRPr="00781112">
        <w:rPr>
          <w:color w:val="000000" w:themeColor="text1"/>
          <w:szCs w:val="16"/>
        </w:rPr>
        <w:lastRenderedPageBreak/>
        <w:t>Oklahoma has created a website for SPP/APR target setting and associated activities: https://sde.ok.gov/apr-target-setting. This website houses a wide variety of documents to support stakeholder engagement and increase capacity to participate. The final target results are also posted on this site, as are annual updates.</w:t>
      </w:r>
      <w:r w:rsidRPr="00781112">
        <w:rPr>
          <w:color w:val="000000" w:themeColor="text1"/>
          <w:szCs w:val="16"/>
        </w:rPr>
        <w:br/>
      </w:r>
      <w:r w:rsidRPr="00781112">
        <w:rPr>
          <w:color w:val="000000" w:themeColor="text1"/>
          <w:szCs w:val="16"/>
        </w:rPr>
        <w:br/>
        <w:t>A similar page has been created to post information about the SSIP: https://sde.ok.gov/state-systemic-improvement-plan.</w:t>
      </w:r>
    </w:p>
    <w:p w14:paraId="7432C5B0" w14:textId="77777777" w:rsidR="00F72E24" w:rsidRPr="00781112" w:rsidRDefault="00F72E24" w:rsidP="004369B2">
      <w:pPr>
        <w:rPr>
          <w:color w:val="000000" w:themeColor="text1"/>
        </w:rPr>
      </w:pPr>
    </w:p>
    <w:p w14:paraId="41976EFD" w14:textId="52C6C218" w:rsidR="00AF5649" w:rsidRPr="00781112" w:rsidRDefault="00AF5649" w:rsidP="004369B2">
      <w:pPr>
        <w:rPr>
          <w:color w:val="000000" w:themeColor="text1"/>
        </w:rPr>
      </w:pPr>
      <w:r w:rsidRPr="00781112">
        <w:rPr>
          <w:b/>
          <w:color w:val="000000" w:themeColor="text1"/>
        </w:rPr>
        <w:t>Reporting to the Public</w:t>
      </w:r>
    </w:p>
    <w:p w14:paraId="6989C68F" w14:textId="34FB353D" w:rsidR="00AF5649" w:rsidRPr="00781112" w:rsidRDefault="00AF5649" w:rsidP="004369B2">
      <w:pPr>
        <w:rPr>
          <w:b/>
          <w:color w:val="000000" w:themeColor="text1"/>
        </w:rPr>
      </w:pPr>
      <w:r w:rsidRPr="00781112">
        <w:rPr>
          <w:b/>
          <w:color w:val="000000" w:themeColor="text1"/>
        </w:rPr>
        <w:t>How and where the State reported to the public on the FFY 2020 performance of each LEA located in the State on the targets in the SPP/APR as soon as practicable, but no later than 120 days following the State’s submission of its FFY 2020 APR, as required by 34 CFR §300.602(b)(1)(i)(A); and a description of where, on its Web site, a complete copy of the State’s SPP/APR, including any revision if the State has revised the targets that it submitted with its FFY 2020 APR in 2022, is available.</w:t>
      </w:r>
    </w:p>
    <w:p w14:paraId="4B111ECA" w14:textId="48A73890" w:rsidR="000C24C2" w:rsidRPr="00781112" w:rsidRDefault="002B7490" w:rsidP="007925C6">
      <w:pPr>
        <w:rPr>
          <w:rFonts w:cs="Arial"/>
          <w:color w:val="000000" w:themeColor="text1"/>
          <w:szCs w:val="16"/>
        </w:rPr>
      </w:pPr>
      <w:r w:rsidRPr="00781112">
        <w:rPr>
          <w:rFonts w:cs="Arial"/>
          <w:color w:val="000000" w:themeColor="text1"/>
          <w:szCs w:val="16"/>
        </w:rPr>
        <w:t xml:space="preserve">The State's performance plan is available on the OSDE-SES Part B data webpage located at http://sde.ok.gov/sde/documents/2012-10-01/special-education-data-and-reporting-part-b-children-ages-3-through-21, and is also distributed through public agencies. Each year, special education reporting dates are posted to build capacity for LEAs to report timely and accurate data. Additional information about the special education reports and due dates are included in the Oklahoma Special Education Data Manual, in the General Supervision System guidance on Differentiated Monitoring and Results-based Accountability, and in all training materials. </w:t>
      </w:r>
      <w:r w:rsidRPr="00781112">
        <w:rPr>
          <w:rFonts w:cs="Arial"/>
          <w:color w:val="000000" w:themeColor="text1"/>
          <w:szCs w:val="16"/>
        </w:rPr>
        <w:br/>
      </w:r>
      <w:r w:rsidRPr="00781112">
        <w:rPr>
          <w:rFonts w:cs="Arial"/>
          <w:color w:val="000000" w:themeColor="text1"/>
          <w:szCs w:val="16"/>
        </w:rPr>
        <w:br/>
        <w:t xml:space="preserve">Oklahoma reports annually on the targets in the SPP/APR in writing to each LEA located in the State. Additionally, the State reports annually to the public on the performance of each LEA located in the State by posting current redacted DDPs and District Determinations on the OSDE webpage (see above). The FFY 2020 district performance reports ("FY 2021 Public Reporting") are located on the Part B data webpage listed above (and directly at the link provided). </w:t>
      </w:r>
    </w:p>
    <w:p w14:paraId="5231B97D" w14:textId="77777777" w:rsidR="00466646" w:rsidRPr="00781112" w:rsidRDefault="00466646" w:rsidP="007925C6">
      <w:pPr>
        <w:rPr>
          <w:rFonts w:cs="Arial"/>
          <w:color w:val="000000" w:themeColor="text1"/>
          <w:szCs w:val="16"/>
        </w:rPr>
      </w:pPr>
    </w:p>
    <w:p w14:paraId="149B9F3D" w14:textId="71D786D9" w:rsidR="00AA4DAF" w:rsidRPr="00781112" w:rsidRDefault="00684B51" w:rsidP="008645AD">
      <w:pPr>
        <w:pStyle w:val="Heading2"/>
      </w:pPr>
      <w:r w:rsidRPr="00781112">
        <w:t xml:space="preserve">Intro - </w:t>
      </w:r>
      <w:r w:rsidR="006B0FD9" w:rsidRPr="00781112">
        <w:t xml:space="preserve">Prior FFY Required </w:t>
      </w:r>
      <w:r w:rsidR="00AA4DAF" w:rsidRPr="00781112">
        <w:t xml:space="preserve">Actions </w:t>
      </w:r>
    </w:p>
    <w:p w14:paraId="66CEC339" w14:textId="2D6DB901" w:rsidR="000C24C2" w:rsidRPr="00781112" w:rsidRDefault="002B7490" w:rsidP="000B4AA4">
      <w:pPr>
        <w:rPr>
          <w:rFonts w:cs="Arial"/>
          <w:color w:val="000000" w:themeColor="text1"/>
          <w:szCs w:val="16"/>
        </w:rPr>
      </w:pPr>
      <w:r w:rsidRPr="00781112">
        <w:rPr>
          <w:rFonts w:cs="Arial"/>
          <w:color w:val="000000" w:themeColor="text1"/>
          <w:szCs w:val="16"/>
        </w:rPr>
        <w:t>None</w:t>
      </w:r>
    </w:p>
    <w:p w14:paraId="6ECA4985" w14:textId="77777777" w:rsidR="008C56EE" w:rsidRPr="00781112" w:rsidRDefault="008C56EE" w:rsidP="000B4AA4">
      <w:pPr>
        <w:rPr>
          <w:rFonts w:cs="Arial"/>
          <w:color w:val="000000" w:themeColor="text1"/>
          <w:szCs w:val="16"/>
        </w:rPr>
      </w:pPr>
    </w:p>
    <w:p w14:paraId="4A252D01" w14:textId="7879CF0B" w:rsidR="00CE6EB0" w:rsidRPr="00781112" w:rsidRDefault="00684B51" w:rsidP="008645AD">
      <w:pPr>
        <w:pStyle w:val="Heading2"/>
      </w:pPr>
      <w:r w:rsidRPr="00781112">
        <w:t xml:space="preserve">Intro - </w:t>
      </w:r>
      <w:r w:rsidR="00CE6EB0" w:rsidRPr="00781112">
        <w:t>OSEP Response</w:t>
      </w:r>
    </w:p>
    <w:p w14:paraId="75883DD0" w14:textId="26E7A768" w:rsidR="000C24C2" w:rsidRPr="00781112" w:rsidRDefault="000C24C2" w:rsidP="001F692C">
      <w:pPr>
        <w:rPr>
          <w:rFonts w:cs="Arial"/>
          <w:color w:val="000000" w:themeColor="text1"/>
          <w:szCs w:val="16"/>
        </w:rPr>
      </w:pPr>
    </w:p>
    <w:p w14:paraId="53B509C2" w14:textId="7458BB00" w:rsidR="00CE6EB0" w:rsidRPr="00781112" w:rsidRDefault="00684B51" w:rsidP="008645AD">
      <w:pPr>
        <w:pStyle w:val="Heading2"/>
      </w:pPr>
      <w:r w:rsidRPr="00781112">
        <w:t>Intro - Required Actions</w:t>
      </w:r>
    </w:p>
    <w:p w14:paraId="4593FA49" w14:textId="4CE6B2B1" w:rsidR="000C24C2" w:rsidRPr="00781112" w:rsidRDefault="000C24C2" w:rsidP="001F692C">
      <w:pPr>
        <w:rPr>
          <w:rFonts w:cs="Arial"/>
          <w:color w:val="000000" w:themeColor="text1"/>
          <w:szCs w:val="16"/>
        </w:rPr>
      </w:pPr>
    </w:p>
    <w:p w14:paraId="42393C4C"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8F1108C" w14:textId="1387D8AF" w:rsidR="00EB0146" w:rsidRPr="00781112" w:rsidRDefault="00EB0146" w:rsidP="000444E2">
      <w:pPr>
        <w:pStyle w:val="Heading1"/>
        <w:rPr>
          <w:color w:val="000000" w:themeColor="text1"/>
          <w:sz w:val="22"/>
        </w:rPr>
      </w:pPr>
      <w:r w:rsidRPr="00781112">
        <w:rPr>
          <w:color w:val="000000" w:themeColor="text1"/>
          <w:sz w:val="22"/>
        </w:rPr>
        <w:lastRenderedPageBreak/>
        <w:t>Indicator 1: Graduation</w:t>
      </w:r>
      <w:bookmarkEnd w:id="1"/>
      <w:bookmarkEnd w:id="2"/>
    </w:p>
    <w:p w14:paraId="5D906D37" w14:textId="00C8F8B1" w:rsidR="009A62A4" w:rsidRPr="00781112" w:rsidRDefault="009A62A4" w:rsidP="00A018D4">
      <w:pPr>
        <w:rPr>
          <w:color w:val="000000" w:themeColor="text1"/>
          <w:szCs w:val="20"/>
        </w:rPr>
      </w:pPr>
      <w:r w:rsidRPr="00781112">
        <w:rPr>
          <w:b/>
          <w:color w:val="000000" w:themeColor="text1"/>
          <w:sz w:val="20"/>
          <w:szCs w:val="20"/>
        </w:rPr>
        <w:t>Instructions and Measurement</w:t>
      </w:r>
    </w:p>
    <w:p w14:paraId="13149CC2" w14:textId="77777777" w:rsidR="004B782D" w:rsidRPr="00781112" w:rsidRDefault="004B782D" w:rsidP="004369B2">
      <w:pPr>
        <w:rPr>
          <w:color w:val="000000" w:themeColor="text1"/>
        </w:rPr>
      </w:pPr>
      <w:bookmarkStart w:id="4" w:name="_Toc392159259"/>
      <w:r w:rsidRPr="00781112">
        <w:rPr>
          <w:b/>
          <w:color w:val="000000" w:themeColor="text1"/>
        </w:rPr>
        <w:t>Monitoring Priority:</w:t>
      </w:r>
      <w:r w:rsidRPr="00781112">
        <w:rPr>
          <w:color w:val="000000" w:themeColor="text1"/>
        </w:rPr>
        <w:t xml:space="preserve"> FAPE in the LRE </w:t>
      </w:r>
    </w:p>
    <w:p w14:paraId="18CE8669" w14:textId="0A91E220"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r w:rsidR="003068D4" w:rsidRPr="00781112">
        <w:rPr>
          <w:color w:val="000000" w:themeColor="text1"/>
        </w:rPr>
        <w:t>exiting</w:t>
      </w:r>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6446BBA4" w14:textId="09E75AD8"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08997539" w14:textId="281A6713"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under section 618 of the Individuals with Disabilities Education Act (IDEA), using the definitions in EDFacts file specification FS009</w:t>
      </w:r>
      <w:r w:rsidRPr="00781112">
        <w:rPr>
          <w:rFonts w:cs="Arial"/>
          <w:color w:val="000000" w:themeColor="text1"/>
          <w:szCs w:val="16"/>
          <w:shd w:val="clear" w:color="auto" w:fill="FFFFFF"/>
        </w:rPr>
        <w:t>.</w:t>
      </w:r>
    </w:p>
    <w:p w14:paraId="453C54CF" w14:textId="0B94BC61" w:rsidR="005F5514" w:rsidRPr="00781112" w:rsidRDefault="005F5514" w:rsidP="004369B2">
      <w:pPr>
        <w:rPr>
          <w:color w:val="000000" w:themeColor="text1"/>
        </w:rPr>
      </w:pPr>
      <w:r w:rsidRPr="00781112">
        <w:rPr>
          <w:b/>
          <w:color w:val="000000" w:themeColor="text1"/>
        </w:rPr>
        <w:t>Measurement</w:t>
      </w:r>
    </w:p>
    <w:p w14:paraId="368E5D32" w14:textId="2D879251"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youth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3C528AFB" w14:textId="76079BAD" w:rsidR="005F5514" w:rsidRPr="00781112" w:rsidRDefault="005F5514" w:rsidP="004369B2">
      <w:pPr>
        <w:rPr>
          <w:color w:val="000000" w:themeColor="text1"/>
        </w:rPr>
      </w:pPr>
      <w:r w:rsidRPr="00781112">
        <w:rPr>
          <w:b/>
          <w:color w:val="000000" w:themeColor="text1"/>
        </w:rPr>
        <w:t>Instructions</w:t>
      </w:r>
    </w:p>
    <w:p w14:paraId="675BD796" w14:textId="6D333C0C" w:rsidR="005F5514" w:rsidRPr="00781112" w:rsidRDefault="005F5514" w:rsidP="004369B2">
      <w:pPr>
        <w:rPr>
          <w:i/>
          <w:color w:val="000000" w:themeColor="text1"/>
        </w:rPr>
      </w:pPr>
      <w:r w:rsidRPr="00781112">
        <w:rPr>
          <w:i/>
          <w:color w:val="000000" w:themeColor="text1"/>
        </w:rPr>
        <w:t>Sampling is not allowed.</w:t>
      </w:r>
    </w:p>
    <w:p w14:paraId="496A7DDE" w14:textId="60DA3384" w:rsidR="005F5514" w:rsidRPr="00781112" w:rsidRDefault="00815B9B" w:rsidP="003A6167">
      <w:pPr>
        <w:rPr>
          <w:rFonts w:cs="Arial"/>
          <w:color w:val="000000" w:themeColor="text1"/>
          <w:szCs w:val="16"/>
        </w:rPr>
      </w:pPr>
      <w:r w:rsidRPr="00781112">
        <w:t xml:space="preserve">Data for this indicator are “lag” data. </w:t>
      </w:r>
      <w:r w:rsidR="005F5514" w:rsidRPr="00781112">
        <w:rPr>
          <w:rFonts w:cs="Arial"/>
          <w:color w:val="000000" w:themeColor="text1"/>
          <w:szCs w:val="16"/>
        </w:rPr>
        <w:t xml:space="preserve">Describe the results of the State’s examination of the data for the year before the reporting year (e.g., for </w:t>
      </w:r>
      <w:r w:rsidR="007639D7">
        <w:rPr>
          <w:rFonts w:cs="Arial"/>
          <w:color w:val="000000" w:themeColor="text1"/>
          <w:szCs w:val="16"/>
        </w:rPr>
        <w:t>the FFY 2021 SPP/APR, use data from 2020-2021</w:t>
      </w:r>
      <w:r w:rsidR="005F5514" w:rsidRPr="00781112">
        <w:rPr>
          <w:rFonts w:cs="Arial"/>
          <w:color w:val="000000" w:themeColor="text1"/>
          <w:szCs w:val="16"/>
        </w:rPr>
        <w:t>), and compare the results to the target. Provide the actual numbers used in the calculation.</w:t>
      </w:r>
    </w:p>
    <w:p w14:paraId="7E94BD74" w14:textId="77777777" w:rsidR="003069AE" w:rsidRPr="00781112" w:rsidRDefault="003069AE" w:rsidP="003069AE">
      <w:r w:rsidRPr="00781112">
        <w:t xml:space="preserve">Include in the denominator the following exiting categories: (a) graduated with a regular high school diploma; (b) graduated with a state-defined alternate diploma; (c) received a certificate; (d) reached maximum age; or (e) dropped out. </w:t>
      </w:r>
    </w:p>
    <w:p w14:paraId="6D62B3B3" w14:textId="4F597FD3"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156B8877" w14:textId="52998CDB" w:rsidR="005F5514" w:rsidRPr="00781112" w:rsidRDefault="005F5514" w:rsidP="003A6167">
      <w:pPr>
        <w:rPr>
          <w:rFonts w:cs="Arial"/>
          <w:color w:val="000000" w:themeColor="text1"/>
          <w:szCs w:val="16"/>
        </w:rPr>
      </w:pPr>
      <w:r w:rsidRPr="00781112">
        <w:rPr>
          <w:rFonts w:cs="Arial"/>
          <w:color w:val="000000" w:themeColor="text1"/>
          <w:szCs w:val="16"/>
        </w:rPr>
        <w:t>Provide a narrative that describes the conditions youth must meet in order to graduate with a regular high school diploma. If the conditions that youth with IEPs must meet in order to graduate with a regular high school diploma are different, please explain.</w:t>
      </w:r>
    </w:p>
    <w:p w14:paraId="17C36F54" w14:textId="0B0AD4FB" w:rsidR="00B34EE6" w:rsidRPr="00781112" w:rsidRDefault="00B0742B" w:rsidP="008645AD">
      <w:pPr>
        <w:pStyle w:val="Heading2"/>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4"/>
    <w:p w14:paraId="7BB99CB8" w14:textId="1745E070" w:rsidR="005E59DB" w:rsidRPr="00781112" w:rsidRDefault="005E59DB" w:rsidP="00B65C2C">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58873103" w14:textId="77777777" w:rsidTr="0033429D">
        <w:trPr>
          <w:trHeight w:val="311"/>
          <w:tblHeader/>
        </w:trPr>
        <w:tc>
          <w:tcPr>
            <w:tcW w:w="1797" w:type="dxa"/>
          </w:tcPr>
          <w:p w14:paraId="3521E7AE" w14:textId="2CED297B"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70C1DEA4" w14:textId="362D12BF"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1079C891" w14:textId="77777777" w:rsidTr="0033429D">
        <w:trPr>
          <w:trHeight w:val="311"/>
        </w:trPr>
        <w:tc>
          <w:tcPr>
            <w:tcW w:w="1797" w:type="dxa"/>
            <w:vAlign w:val="center"/>
          </w:tcPr>
          <w:p w14:paraId="55702E9C" w14:textId="3300C91F" w:rsidR="008F3F33" w:rsidRPr="00781112" w:rsidRDefault="008F3F33" w:rsidP="0033429D">
            <w:pPr>
              <w:jc w:val="center"/>
              <w:rPr>
                <w:b/>
                <w:color w:val="000000" w:themeColor="text1"/>
              </w:rPr>
            </w:pPr>
            <w:r w:rsidRPr="00781112">
              <w:rPr>
                <w:rFonts w:cs="Arial"/>
                <w:color w:val="000000" w:themeColor="text1"/>
                <w:szCs w:val="16"/>
              </w:rPr>
              <w:t>2020</w:t>
            </w:r>
          </w:p>
        </w:tc>
        <w:tc>
          <w:tcPr>
            <w:tcW w:w="1798" w:type="dxa"/>
            <w:vAlign w:val="center"/>
          </w:tcPr>
          <w:p w14:paraId="4BB8ED70" w14:textId="40307D5C" w:rsidR="008F3F33" w:rsidRPr="00781112" w:rsidRDefault="008F3F33" w:rsidP="0033429D">
            <w:pPr>
              <w:jc w:val="center"/>
              <w:rPr>
                <w:b/>
                <w:color w:val="000000" w:themeColor="text1"/>
              </w:rPr>
            </w:pPr>
            <w:r w:rsidRPr="00781112">
              <w:rPr>
                <w:rFonts w:cs="Arial"/>
                <w:color w:val="000000" w:themeColor="text1"/>
                <w:szCs w:val="16"/>
              </w:rPr>
              <w:t>84.63%</w:t>
            </w:r>
          </w:p>
        </w:tc>
      </w:tr>
    </w:tbl>
    <w:p w14:paraId="04BDDA65"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6EF7C6D0" w14:textId="1CEAEBAE" w:rsidTr="00087EB9">
        <w:trPr>
          <w:trHeight w:val="350"/>
        </w:trPr>
        <w:tc>
          <w:tcPr>
            <w:tcW w:w="833" w:type="pct"/>
            <w:tcBorders>
              <w:bottom w:val="single" w:sz="4" w:space="0" w:color="auto"/>
            </w:tcBorders>
            <w:shd w:val="clear" w:color="auto" w:fill="auto"/>
          </w:tcPr>
          <w:p w14:paraId="4483C39A"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0DF3D5A6" w14:textId="2DA8A75D" w:rsidR="007F24E2" w:rsidRPr="00781112" w:rsidRDefault="002B7490" w:rsidP="00894709">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5E57E797" w14:textId="6309195B" w:rsidR="007F24E2" w:rsidRPr="00781112" w:rsidRDefault="002B7490" w:rsidP="00894709">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6D5C8516" w14:textId="2F8BF9E2" w:rsidR="007F24E2" w:rsidRPr="00781112" w:rsidRDefault="002B7490" w:rsidP="00894709">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116A9927" w14:textId="1D308C81"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14:paraId="41821FE5" w14:textId="02E4CA44" w:rsidR="007F24E2" w:rsidRPr="00781112" w:rsidRDefault="002B7490" w:rsidP="00894709">
            <w:pPr>
              <w:jc w:val="center"/>
              <w:rPr>
                <w:rFonts w:cs="Arial"/>
                <w:b/>
                <w:color w:val="000000" w:themeColor="text1"/>
                <w:szCs w:val="16"/>
              </w:rPr>
            </w:pPr>
            <w:r w:rsidRPr="00781112">
              <w:rPr>
                <w:rFonts w:cs="Arial"/>
                <w:b/>
                <w:color w:val="000000" w:themeColor="text1"/>
                <w:szCs w:val="16"/>
              </w:rPr>
              <w:t>2020</w:t>
            </w:r>
          </w:p>
        </w:tc>
      </w:tr>
      <w:tr w:rsidR="005C29F8" w:rsidRPr="00781112" w14:paraId="69850889" w14:textId="5FBD9A23" w:rsidTr="0033429D">
        <w:trPr>
          <w:trHeight w:val="357"/>
        </w:trPr>
        <w:tc>
          <w:tcPr>
            <w:tcW w:w="833" w:type="pct"/>
            <w:shd w:val="clear" w:color="auto" w:fill="auto"/>
            <w:vAlign w:val="center"/>
          </w:tcPr>
          <w:p w14:paraId="329304B6" w14:textId="1D4FEA84" w:rsidR="007F24E2" w:rsidRPr="00781112" w:rsidRDefault="007F24E2" w:rsidP="004369B2">
            <w:pPr>
              <w:rPr>
                <w:rFonts w:cs="Arial"/>
                <w:color w:val="000000" w:themeColor="text1"/>
                <w:szCs w:val="16"/>
              </w:rPr>
            </w:pPr>
            <w:r w:rsidRPr="00781112">
              <w:rPr>
                <w:rFonts w:cs="Arial"/>
                <w:color w:val="000000" w:themeColor="text1"/>
                <w:szCs w:val="16"/>
              </w:rPr>
              <w:t>Target &gt;=</w:t>
            </w:r>
          </w:p>
        </w:tc>
        <w:tc>
          <w:tcPr>
            <w:tcW w:w="833" w:type="pct"/>
            <w:shd w:val="clear" w:color="auto" w:fill="auto"/>
            <w:vAlign w:val="center"/>
          </w:tcPr>
          <w:p w14:paraId="4D288A5D" w14:textId="1DE49DCD" w:rsidR="007F24E2" w:rsidRPr="00781112" w:rsidRDefault="002B7490" w:rsidP="00E0321D">
            <w:pPr>
              <w:jc w:val="center"/>
              <w:rPr>
                <w:rFonts w:cs="Arial"/>
                <w:color w:val="000000" w:themeColor="text1"/>
                <w:szCs w:val="16"/>
              </w:rPr>
            </w:pPr>
            <w:r w:rsidRPr="00781112">
              <w:rPr>
                <w:rFonts w:cs="Arial"/>
                <w:color w:val="000000" w:themeColor="text1"/>
                <w:szCs w:val="16"/>
              </w:rPr>
              <w:t>87.00%</w:t>
            </w:r>
          </w:p>
        </w:tc>
        <w:tc>
          <w:tcPr>
            <w:tcW w:w="833" w:type="pct"/>
            <w:shd w:val="clear" w:color="auto" w:fill="auto"/>
            <w:vAlign w:val="center"/>
          </w:tcPr>
          <w:p w14:paraId="2751003B" w14:textId="66867EC3" w:rsidR="007F24E2" w:rsidRPr="00781112" w:rsidRDefault="002B7490" w:rsidP="00E0321D">
            <w:pPr>
              <w:jc w:val="center"/>
              <w:rPr>
                <w:rFonts w:cs="Arial"/>
                <w:color w:val="000000" w:themeColor="text1"/>
                <w:szCs w:val="16"/>
              </w:rPr>
            </w:pPr>
            <w:r w:rsidRPr="00781112">
              <w:rPr>
                <w:rFonts w:cs="Arial"/>
                <w:color w:val="000000" w:themeColor="text1"/>
                <w:szCs w:val="16"/>
              </w:rPr>
              <w:t>87.00%</w:t>
            </w:r>
          </w:p>
        </w:tc>
        <w:tc>
          <w:tcPr>
            <w:tcW w:w="833" w:type="pct"/>
            <w:shd w:val="clear" w:color="auto" w:fill="auto"/>
            <w:vAlign w:val="center"/>
          </w:tcPr>
          <w:p w14:paraId="6982A73B" w14:textId="50B9EF02" w:rsidR="007F24E2" w:rsidRPr="00781112" w:rsidRDefault="002B7490" w:rsidP="00E0321D">
            <w:pPr>
              <w:jc w:val="center"/>
              <w:rPr>
                <w:rFonts w:cs="Arial"/>
                <w:color w:val="000000" w:themeColor="text1"/>
                <w:szCs w:val="16"/>
              </w:rPr>
            </w:pPr>
            <w:r w:rsidRPr="00781112">
              <w:rPr>
                <w:rFonts w:cs="Arial"/>
                <w:color w:val="000000" w:themeColor="text1"/>
                <w:szCs w:val="16"/>
              </w:rPr>
              <w:t>87.00%</w:t>
            </w:r>
          </w:p>
        </w:tc>
        <w:tc>
          <w:tcPr>
            <w:tcW w:w="833" w:type="pct"/>
            <w:shd w:val="clear" w:color="auto" w:fill="auto"/>
            <w:vAlign w:val="center"/>
          </w:tcPr>
          <w:p w14:paraId="54566D6E" w14:textId="0812F659" w:rsidR="007F24E2" w:rsidRPr="00781112" w:rsidRDefault="002B7490" w:rsidP="00E0321D">
            <w:pPr>
              <w:jc w:val="center"/>
              <w:rPr>
                <w:rFonts w:cs="Arial"/>
                <w:color w:val="000000" w:themeColor="text1"/>
                <w:szCs w:val="16"/>
              </w:rPr>
            </w:pPr>
            <w:r w:rsidRPr="00781112">
              <w:rPr>
                <w:rFonts w:cs="Arial"/>
                <w:color w:val="000000" w:themeColor="text1"/>
                <w:szCs w:val="16"/>
              </w:rPr>
              <w:t>87.00%</w:t>
            </w:r>
          </w:p>
        </w:tc>
        <w:tc>
          <w:tcPr>
            <w:tcW w:w="834" w:type="pct"/>
            <w:shd w:val="clear" w:color="auto" w:fill="auto"/>
            <w:vAlign w:val="center"/>
          </w:tcPr>
          <w:p w14:paraId="12B0FD7D" w14:textId="7E3C835D" w:rsidR="007F24E2" w:rsidRPr="00781112" w:rsidRDefault="002B7490" w:rsidP="00E0321D">
            <w:pPr>
              <w:jc w:val="center"/>
              <w:rPr>
                <w:rFonts w:cs="Arial"/>
                <w:color w:val="000000" w:themeColor="text1"/>
                <w:szCs w:val="16"/>
              </w:rPr>
            </w:pPr>
            <w:r w:rsidRPr="00781112">
              <w:rPr>
                <w:rFonts w:cs="Arial"/>
                <w:color w:val="000000" w:themeColor="text1"/>
                <w:szCs w:val="16"/>
              </w:rPr>
              <w:t>84.00%</w:t>
            </w:r>
          </w:p>
        </w:tc>
      </w:tr>
      <w:tr w:rsidR="005C29F8" w:rsidRPr="00781112" w14:paraId="146BC5C2" w14:textId="426AC9C6" w:rsidTr="0033429D">
        <w:trPr>
          <w:trHeight w:val="85"/>
        </w:trPr>
        <w:tc>
          <w:tcPr>
            <w:tcW w:w="833" w:type="pct"/>
            <w:shd w:val="clear" w:color="auto" w:fill="auto"/>
            <w:vAlign w:val="center"/>
          </w:tcPr>
          <w:p w14:paraId="2FA56C27" w14:textId="77777777" w:rsidR="007F24E2" w:rsidRPr="00781112" w:rsidRDefault="007F24E2" w:rsidP="004369B2">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7832DBB9" w14:textId="0E41C477" w:rsidR="007F24E2" w:rsidRPr="00781112" w:rsidRDefault="002B7490" w:rsidP="00E0321D">
            <w:pPr>
              <w:jc w:val="center"/>
              <w:rPr>
                <w:rFonts w:cs="Arial"/>
                <w:color w:val="000000" w:themeColor="text1"/>
                <w:szCs w:val="16"/>
              </w:rPr>
            </w:pPr>
            <w:r w:rsidRPr="00781112">
              <w:rPr>
                <w:rFonts w:cs="Arial"/>
                <w:color w:val="000000" w:themeColor="text1"/>
                <w:szCs w:val="16"/>
              </w:rPr>
              <w:t>74.44%</w:t>
            </w:r>
          </w:p>
        </w:tc>
        <w:tc>
          <w:tcPr>
            <w:tcW w:w="833" w:type="pct"/>
            <w:shd w:val="clear" w:color="auto" w:fill="auto"/>
            <w:vAlign w:val="center"/>
          </w:tcPr>
          <w:p w14:paraId="522433F4" w14:textId="15824FD9" w:rsidR="007F24E2" w:rsidRPr="00781112" w:rsidRDefault="002B7490" w:rsidP="00E0321D">
            <w:pPr>
              <w:jc w:val="center"/>
              <w:rPr>
                <w:rFonts w:cs="Arial"/>
                <w:color w:val="000000" w:themeColor="text1"/>
                <w:szCs w:val="16"/>
              </w:rPr>
            </w:pPr>
            <w:r w:rsidRPr="00781112">
              <w:rPr>
                <w:rFonts w:cs="Arial"/>
                <w:color w:val="000000" w:themeColor="text1"/>
                <w:szCs w:val="16"/>
              </w:rPr>
              <w:t>76.97%</w:t>
            </w:r>
          </w:p>
        </w:tc>
        <w:tc>
          <w:tcPr>
            <w:tcW w:w="833" w:type="pct"/>
            <w:tcBorders>
              <w:bottom w:val="single" w:sz="4" w:space="0" w:color="auto"/>
            </w:tcBorders>
            <w:shd w:val="clear" w:color="auto" w:fill="auto"/>
            <w:vAlign w:val="center"/>
          </w:tcPr>
          <w:p w14:paraId="51E9F945" w14:textId="1DED232A" w:rsidR="007F24E2" w:rsidRPr="00781112" w:rsidRDefault="002B7490" w:rsidP="00E0321D">
            <w:pPr>
              <w:jc w:val="center"/>
              <w:rPr>
                <w:rFonts w:cs="Arial"/>
                <w:color w:val="000000" w:themeColor="text1"/>
                <w:szCs w:val="16"/>
              </w:rPr>
            </w:pPr>
            <w:r w:rsidRPr="00781112">
              <w:rPr>
                <w:rFonts w:cs="Arial"/>
                <w:color w:val="000000" w:themeColor="text1"/>
                <w:szCs w:val="16"/>
              </w:rPr>
              <w:t>58.34%</w:t>
            </w:r>
          </w:p>
        </w:tc>
        <w:tc>
          <w:tcPr>
            <w:tcW w:w="833" w:type="pct"/>
            <w:tcBorders>
              <w:bottom w:val="single" w:sz="4" w:space="0" w:color="auto"/>
            </w:tcBorders>
            <w:shd w:val="clear" w:color="auto" w:fill="auto"/>
            <w:vAlign w:val="center"/>
          </w:tcPr>
          <w:p w14:paraId="180CBFE9" w14:textId="01D5E7B3" w:rsidR="007F24E2" w:rsidRPr="00781112" w:rsidRDefault="002B7490" w:rsidP="00E0321D">
            <w:pPr>
              <w:jc w:val="center"/>
              <w:rPr>
                <w:rFonts w:cs="Arial"/>
                <w:color w:val="000000" w:themeColor="text1"/>
                <w:szCs w:val="16"/>
              </w:rPr>
            </w:pPr>
            <w:r w:rsidRPr="00781112">
              <w:rPr>
                <w:rFonts w:cs="Arial"/>
                <w:color w:val="000000" w:themeColor="text1"/>
                <w:szCs w:val="16"/>
              </w:rPr>
              <w:t>79.14%</w:t>
            </w:r>
          </w:p>
        </w:tc>
        <w:tc>
          <w:tcPr>
            <w:tcW w:w="834" w:type="pct"/>
            <w:tcBorders>
              <w:bottom w:val="single" w:sz="4" w:space="0" w:color="auto"/>
            </w:tcBorders>
            <w:shd w:val="clear" w:color="auto" w:fill="auto"/>
            <w:vAlign w:val="center"/>
          </w:tcPr>
          <w:p w14:paraId="3C2AFA14" w14:textId="153E7CE5" w:rsidR="007F24E2" w:rsidRPr="00781112" w:rsidRDefault="002B7490" w:rsidP="00E0321D">
            <w:pPr>
              <w:jc w:val="center"/>
              <w:rPr>
                <w:rFonts w:cs="Arial"/>
                <w:color w:val="000000" w:themeColor="text1"/>
                <w:szCs w:val="16"/>
              </w:rPr>
            </w:pPr>
            <w:r w:rsidRPr="00781112">
              <w:rPr>
                <w:rFonts w:cs="Arial"/>
                <w:color w:val="000000" w:themeColor="text1"/>
                <w:szCs w:val="16"/>
              </w:rPr>
              <w:t>84.63%</w:t>
            </w:r>
          </w:p>
        </w:tc>
      </w:tr>
    </w:tbl>
    <w:p w14:paraId="43E7AA4B" w14:textId="77777777" w:rsidR="00654A4B" w:rsidRPr="00781112" w:rsidRDefault="00654A4B" w:rsidP="00B65C2C">
      <w:pPr>
        <w:rPr>
          <w:color w:val="000000" w:themeColor="text1"/>
        </w:rPr>
      </w:pPr>
    </w:p>
    <w:p w14:paraId="058E572E" w14:textId="747B93F2" w:rsidR="005E59DB" w:rsidRPr="00781112" w:rsidRDefault="005E59DB" w:rsidP="00B65C2C">
      <w:pPr>
        <w:rPr>
          <w:b/>
          <w:color w:val="000000" w:themeColor="text1"/>
        </w:rPr>
      </w:pPr>
      <w:r w:rsidRPr="00781112">
        <w:rPr>
          <w:b/>
          <w:color w:val="000000" w:themeColor="text1"/>
        </w:rPr>
        <w:t>Targets</w:t>
      </w:r>
    </w:p>
    <w:tbl>
      <w:tblPr>
        <w:tblW w:w="4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6"/>
        <w:gridCol w:w="1611"/>
        <w:gridCol w:w="1611"/>
        <w:gridCol w:w="1611"/>
        <w:gridCol w:w="1611"/>
        <w:gridCol w:w="1606"/>
      </w:tblGrid>
      <w:tr w:rsidR="00B14519" w:rsidRPr="00781112" w14:paraId="2AA1A231" w14:textId="4E09135F" w:rsidTr="00451D7E">
        <w:trPr>
          <w:trHeight w:val="366"/>
        </w:trPr>
        <w:tc>
          <w:tcPr>
            <w:tcW w:w="628" w:type="pct"/>
            <w:tcBorders>
              <w:bottom w:val="single" w:sz="4" w:space="0" w:color="auto"/>
            </w:tcBorders>
            <w:shd w:val="clear" w:color="auto" w:fill="auto"/>
          </w:tcPr>
          <w:p w14:paraId="40B33FED" w14:textId="77777777" w:rsidR="00B14519" w:rsidRPr="00781112" w:rsidRDefault="00B14519" w:rsidP="00373F78">
            <w:pPr>
              <w:jc w:val="center"/>
              <w:rPr>
                <w:b/>
                <w:color w:val="000000" w:themeColor="text1"/>
              </w:rPr>
            </w:pPr>
            <w:r w:rsidRPr="00781112">
              <w:rPr>
                <w:b/>
                <w:color w:val="000000" w:themeColor="text1"/>
              </w:rPr>
              <w:t>FFY</w:t>
            </w:r>
          </w:p>
        </w:tc>
        <w:tc>
          <w:tcPr>
            <w:tcW w:w="875" w:type="pct"/>
            <w:shd w:val="clear" w:color="auto" w:fill="auto"/>
          </w:tcPr>
          <w:p w14:paraId="71086D9D" w14:textId="38ED494E" w:rsidR="00B14519" w:rsidRPr="00781112" w:rsidRDefault="00B14519" w:rsidP="00373F78">
            <w:pPr>
              <w:jc w:val="center"/>
              <w:rPr>
                <w:b/>
                <w:color w:val="000000" w:themeColor="text1"/>
              </w:rPr>
            </w:pPr>
            <w:r w:rsidRPr="00781112">
              <w:rPr>
                <w:b/>
                <w:color w:val="000000" w:themeColor="text1"/>
              </w:rPr>
              <w:t>2021</w:t>
            </w:r>
          </w:p>
        </w:tc>
        <w:tc>
          <w:tcPr>
            <w:tcW w:w="875" w:type="pct"/>
          </w:tcPr>
          <w:p w14:paraId="4D39066B" w14:textId="301F6A49" w:rsidR="00B14519" w:rsidRPr="00781112" w:rsidRDefault="00B14519" w:rsidP="00373F78">
            <w:pPr>
              <w:jc w:val="center"/>
              <w:rPr>
                <w:b/>
                <w:color w:val="000000" w:themeColor="text1"/>
              </w:rPr>
            </w:pPr>
            <w:r w:rsidRPr="00781112">
              <w:rPr>
                <w:rFonts w:cs="Arial"/>
                <w:b/>
                <w:color w:val="000000" w:themeColor="text1"/>
                <w:szCs w:val="16"/>
              </w:rPr>
              <w:t>2022</w:t>
            </w:r>
          </w:p>
        </w:tc>
        <w:tc>
          <w:tcPr>
            <w:tcW w:w="875" w:type="pct"/>
          </w:tcPr>
          <w:p w14:paraId="1FB807B9" w14:textId="403D43E4" w:rsidR="00B14519" w:rsidRPr="00781112" w:rsidRDefault="00B14519" w:rsidP="00373F78">
            <w:pPr>
              <w:jc w:val="center"/>
              <w:rPr>
                <w:b/>
                <w:color w:val="000000" w:themeColor="text1"/>
              </w:rPr>
            </w:pPr>
            <w:r w:rsidRPr="00781112">
              <w:rPr>
                <w:rFonts w:cs="Arial"/>
                <w:b/>
                <w:color w:val="000000" w:themeColor="text1"/>
                <w:szCs w:val="16"/>
              </w:rPr>
              <w:t>2023</w:t>
            </w:r>
          </w:p>
        </w:tc>
        <w:tc>
          <w:tcPr>
            <w:tcW w:w="875" w:type="pct"/>
          </w:tcPr>
          <w:p w14:paraId="720CF74E" w14:textId="096265B6" w:rsidR="00B14519" w:rsidRPr="00781112" w:rsidRDefault="00B14519" w:rsidP="00373F78">
            <w:pPr>
              <w:jc w:val="center"/>
              <w:rPr>
                <w:b/>
                <w:color w:val="000000" w:themeColor="text1"/>
              </w:rPr>
            </w:pPr>
            <w:r w:rsidRPr="00781112">
              <w:rPr>
                <w:rFonts w:cs="Arial"/>
                <w:b/>
                <w:color w:val="000000" w:themeColor="text1"/>
                <w:szCs w:val="16"/>
              </w:rPr>
              <w:t>2024</w:t>
            </w:r>
          </w:p>
        </w:tc>
        <w:tc>
          <w:tcPr>
            <w:tcW w:w="874" w:type="pct"/>
          </w:tcPr>
          <w:p w14:paraId="767866E4" w14:textId="1EE4AF77" w:rsidR="00B14519" w:rsidRPr="00781112" w:rsidRDefault="00B14519" w:rsidP="00373F78">
            <w:pPr>
              <w:jc w:val="center"/>
              <w:rPr>
                <w:b/>
                <w:color w:val="000000" w:themeColor="text1"/>
              </w:rPr>
            </w:pPr>
            <w:r w:rsidRPr="00781112">
              <w:rPr>
                <w:rFonts w:cs="Arial"/>
                <w:b/>
                <w:color w:val="000000" w:themeColor="text1"/>
                <w:szCs w:val="16"/>
              </w:rPr>
              <w:t>2025</w:t>
            </w:r>
          </w:p>
        </w:tc>
      </w:tr>
      <w:tr w:rsidR="00B14519" w:rsidRPr="00781112" w14:paraId="30C65E4A" w14:textId="7AB118F2" w:rsidTr="00451D7E">
        <w:trPr>
          <w:trHeight w:val="374"/>
        </w:trPr>
        <w:tc>
          <w:tcPr>
            <w:tcW w:w="628" w:type="pct"/>
            <w:shd w:val="clear" w:color="auto" w:fill="auto"/>
            <w:vAlign w:val="center"/>
          </w:tcPr>
          <w:p w14:paraId="15D80559" w14:textId="5A8166E8" w:rsidR="00B14519" w:rsidRPr="00781112" w:rsidRDefault="00B14519" w:rsidP="00373F78">
            <w:pPr>
              <w:rPr>
                <w:rFonts w:cs="Arial"/>
                <w:color w:val="000000" w:themeColor="text1"/>
                <w:szCs w:val="16"/>
              </w:rPr>
            </w:pPr>
            <w:r w:rsidRPr="00781112">
              <w:rPr>
                <w:rFonts w:cs="Arial"/>
                <w:color w:val="000000" w:themeColor="text1"/>
                <w:szCs w:val="16"/>
              </w:rPr>
              <w:t>Target &gt;=</w:t>
            </w:r>
          </w:p>
        </w:tc>
        <w:tc>
          <w:tcPr>
            <w:tcW w:w="875" w:type="pct"/>
            <w:shd w:val="clear" w:color="auto" w:fill="auto"/>
            <w:vAlign w:val="center"/>
          </w:tcPr>
          <w:p w14:paraId="5C1E2097" w14:textId="7100F4DF" w:rsidR="00B14519" w:rsidRPr="00781112" w:rsidRDefault="00B14519" w:rsidP="00373F78">
            <w:pPr>
              <w:jc w:val="center"/>
              <w:rPr>
                <w:rFonts w:cs="Arial"/>
                <w:color w:val="000000" w:themeColor="text1"/>
                <w:szCs w:val="16"/>
              </w:rPr>
            </w:pPr>
            <w:r w:rsidRPr="00781112">
              <w:rPr>
                <w:rFonts w:cs="Arial"/>
                <w:color w:val="000000" w:themeColor="text1"/>
                <w:szCs w:val="16"/>
              </w:rPr>
              <w:t>85.00%</w:t>
            </w:r>
          </w:p>
        </w:tc>
        <w:tc>
          <w:tcPr>
            <w:tcW w:w="875" w:type="pct"/>
          </w:tcPr>
          <w:p w14:paraId="7717027B" w14:textId="1C4C1650" w:rsidR="00B14519" w:rsidRPr="00781112" w:rsidRDefault="00B14519" w:rsidP="00373F78">
            <w:pPr>
              <w:jc w:val="center"/>
              <w:rPr>
                <w:rFonts w:cs="Arial"/>
                <w:color w:val="000000" w:themeColor="text1"/>
                <w:szCs w:val="16"/>
              </w:rPr>
            </w:pPr>
            <w:r w:rsidRPr="00781112">
              <w:rPr>
                <w:color w:val="000000" w:themeColor="text1"/>
                <w:szCs w:val="16"/>
              </w:rPr>
              <w:t>86.00%</w:t>
            </w:r>
          </w:p>
        </w:tc>
        <w:tc>
          <w:tcPr>
            <w:tcW w:w="875" w:type="pct"/>
          </w:tcPr>
          <w:p w14:paraId="48C73194" w14:textId="78C93C75" w:rsidR="00B14519" w:rsidRPr="00781112" w:rsidRDefault="00B14519" w:rsidP="00373F78">
            <w:pPr>
              <w:jc w:val="center"/>
              <w:rPr>
                <w:rFonts w:cs="Arial"/>
                <w:color w:val="000000" w:themeColor="text1"/>
                <w:szCs w:val="16"/>
              </w:rPr>
            </w:pPr>
            <w:r w:rsidRPr="00781112">
              <w:rPr>
                <w:color w:val="000000" w:themeColor="text1"/>
                <w:szCs w:val="16"/>
              </w:rPr>
              <w:t>87.00%</w:t>
            </w:r>
          </w:p>
        </w:tc>
        <w:tc>
          <w:tcPr>
            <w:tcW w:w="875" w:type="pct"/>
          </w:tcPr>
          <w:p w14:paraId="1CC5CF36" w14:textId="47158C2B" w:rsidR="00B14519" w:rsidRPr="00781112" w:rsidRDefault="00B14519" w:rsidP="00373F78">
            <w:pPr>
              <w:jc w:val="center"/>
              <w:rPr>
                <w:rFonts w:cs="Arial"/>
                <w:color w:val="000000" w:themeColor="text1"/>
                <w:szCs w:val="16"/>
              </w:rPr>
            </w:pPr>
            <w:r w:rsidRPr="00781112">
              <w:rPr>
                <w:color w:val="000000" w:themeColor="text1"/>
                <w:szCs w:val="16"/>
              </w:rPr>
              <w:t>88.00%</w:t>
            </w:r>
          </w:p>
        </w:tc>
        <w:tc>
          <w:tcPr>
            <w:tcW w:w="874" w:type="pct"/>
          </w:tcPr>
          <w:p w14:paraId="6BAB194A" w14:textId="42E53978" w:rsidR="00B14519" w:rsidRPr="00781112" w:rsidRDefault="00B14519" w:rsidP="00373F78">
            <w:pPr>
              <w:jc w:val="center"/>
              <w:rPr>
                <w:rFonts w:cs="Arial"/>
                <w:color w:val="000000" w:themeColor="text1"/>
                <w:szCs w:val="16"/>
              </w:rPr>
            </w:pPr>
            <w:r w:rsidRPr="00781112">
              <w:rPr>
                <w:color w:val="000000" w:themeColor="text1"/>
                <w:szCs w:val="16"/>
              </w:rPr>
              <w:t>89.00%</w:t>
            </w:r>
          </w:p>
        </w:tc>
      </w:tr>
    </w:tbl>
    <w:p w14:paraId="346A80A2" w14:textId="77777777" w:rsidR="00654A4B" w:rsidRPr="00781112" w:rsidRDefault="00654A4B" w:rsidP="004369B2">
      <w:pPr>
        <w:rPr>
          <w:color w:val="000000" w:themeColor="text1"/>
        </w:rPr>
      </w:pPr>
    </w:p>
    <w:p w14:paraId="451C0051" w14:textId="1929A141" w:rsidR="005E59DB" w:rsidRPr="00781112" w:rsidRDefault="005E59DB">
      <w:pPr>
        <w:rPr>
          <w:b/>
          <w:color w:val="000000" w:themeColor="text1"/>
        </w:rPr>
      </w:pPr>
      <w:r w:rsidRPr="00781112">
        <w:rPr>
          <w:b/>
          <w:color w:val="000000" w:themeColor="text1"/>
        </w:rPr>
        <w:t xml:space="preserve">Targets: Description of Stakeholder Input </w:t>
      </w:r>
    </w:p>
    <w:p w14:paraId="6F475956" w14:textId="6AAE3895" w:rsidR="000C24C2" w:rsidRPr="00781112" w:rsidRDefault="000C24C2" w:rsidP="001011BB">
      <w:pPr>
        <w:rPr>
          <w:rFonts w:cs="Arial"/>
          <w:color w:val="000000" w:themeColor="text1"/>
          <w:szCs w:val="16"/>
        </w:rPr>
      </w:pPr>
    </w:p>
    <w:p w14:paraId="4026D322" w14:textId="77777777" w:rsidR="00654A4B" w:rsidRPr="00781112" w:rsidRDefault="00654A4B" w:rsidP="00B65C2C">
      <w:pPr>
        <w:rPr>
          <w:color w:val="000000" w:themeColor="text1"/>
        </w:rPr>
      </w:pPr>
    </w:p>
    <w:p w14:paraId="5BFE0C1F" w14:textId="74D590F4" w:rsidR="00995737" w:rsidRPr="00781112" w:rsidRDefault="00995737" w:rsidP="00B65C2C">
      <w:pPr>
        <w:rPr>
          <w:b/>
          <w:bCs/>
          <w:color w:val="000000" w:themeColor="text1"/>
        </w:rPr>
      </w:pPr>
      <w:r w:rsidRPr="00781112">
        <w:rPr>
          <w:b/>
          <w:bCs/>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30F51C80" w14:textId="4B2A2ADB" w:rsidTr="00044B5C">
        <w:trPr>
          <w:trHeight w:val="372"/>
          <w:tblHeader/>
        </w:trPr>
        <w:tc>
          <w:tcPr>
            <w:tcW w:w="1348" w:type="pct"/>
            <w:shd w:val="clear" w:color="auto" w:fill="auto"/>
          </w:tcPr>
          <w:p w14:paraId="323D50E8" w14:textId="6779F814"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1C2B5F0" w14:textId="1D5140A6"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shd w:val="clear" w:color="auto" w:fill="auto"/>
          </w:tcPr>
          <w:p w14:paraId="1FC5546A" w14:textId="059B9945"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shd w:val="clear" w:color="auto" w:fill="auto"/>
          </w:tcPr>
          <w:p w14:paraId="189AD2F4" w14:textId="2C14B569"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30B629CE" w14:textId="3D9C8EF1" w:rsidTr="00044B5C">
        <w:trPr>
          <w:trHeight w:val="380"/>
        </w:trPr>
        <w:tc>
          <w:tcPr>
            <w:tcW w:w="1348" w:type="pct"/>
            <w:shd w:val="clear" w:color="auto" w:fill="auto"/>
          </w:tcPr>
          <w:p w14:paraId="73323AED" w14:textId="61550716" w:rsidR="005A75AD" w:rsidRPr="00781112" w:rsidRDefault="005A75AD" w:rsidP="005A75AD">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5E976CB4" w14:textId="15FDC9EF" w:rsidR="005A75AD" w:rsidRPr="00781112" w:rsidRDefault="005A75AD" w:rsidP="005A75AD">
            <w:pPr>
              <w:jc w:val="center"/>
              <w:rPr>
                <w:rFonts w:cs="Arial"/>
                <w:color w:val="000000" w:themeColor="text1"/>
                <w:szCs w:val="16"/>
              </w:rPr>
            </w:pPr>
            <w:r w:rsidRPr="00781112">
              <w:rPr>
                <w:rFonts w:cs="Arial"/>
                <w:color w:val="000000" w:themeColor="text1"/>
                <w:szCs w:val="16"/>
              </w:rPr>
              <w:t>05/25/2022</w:t>
            </w:r>
          </w:p>
        </w:tc>
        <w:tc>
          <w:tcPr>
            <w:tcW w:w="1625" w:type="pct"/>
            <w:shd w:val="clear" w:color="auto" w:fill="auto"/>
          </w:tcPr>
          <w:p w14:paraId="01C211E9" w14:textId="4BA1367C"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regular high school diploma (a)</w:t>
            </w:r>
          </w:p>
        </w:tc>
        <w:tc>
          <w:tcPr>
            <w:tcW w:w="1040" w:type="pct"/>
            <w:shd w:val="clear" w:color="auto" w:fill="auto"/>
          </w:tcPr>
          <w:p w14:paraId="18434B19" w14:textId="3271491A" w:rsidR="005A75AD" w:rsidRPr="00781112" w:rsidRDefault="005A75AD" w:rsidP="005A75AD">
            <w:pPr>
              <w:jc w:val="center"/>
              <w:rPr>
                <w:rFonts w:cs="Arial"/>
                <w:color w:val="000000" w:themeColor="text1"/>
                <w:szCs w:val="16"/>
              </w:rPr>
            </w:pPr>
            <w:r w:rsidRPr="00781112">
              <w:rPr>
                <w:rFonts w:cs="Arial"/>
                <w:color w:val="000000" w:themeColor="text1"/>
                <w:szCs w:val="16"/>
              </w:rPr>
              <w:t>6,185</w:t>
            </w:r>
          </w:p>
        </w:tc>
      </w:tr>
      <w:tr w:rsidR="005A75AD" w:rsidRPr="00781112" w14:paraId="2E9BAC4B" w14:textId="77777777" w:rsidTr="00044B5C">
        <w:trPr>
          <w:trHeight w:val="380"/>
        </w:trPr>
        <w:tc>
          <w:tcPr>
            <w:tcW w:w="1348" w:type="pct"/>
            <w:shd w:val="clear" w:color="auto" w:fill="auto"/>
          </w:tcPr>
          <w:p w14:paraId="019DE2CA" w14:textId="1C16E7CC" w:rsidR="005A75AD" w:rsidRPr="00781112" w:rsidRDefault="005A75AD" w:rsidP="005A75AD">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21121509" w14:textId="35C72B6A" w:rsidR="005A75AD" w:rsidRPr="00781112" w:rsidRDefault="005A75AD" w:rsidP="005A75AD">
            <w:pPr>
              <w:jc w:val="center"/>
              <w:rPr>
                <w:rFonts w:cs="Arial"/>
                <w:color w:val="000000" w:themeColor="text1"/>
                <w:szCs w:val="16"/>
              </w:rPr>
            </w:pPr>
            <w:r w:rsidRPr="00781112">
              <w:rPr>
                <w:rFonts w:cs="Arial"/>
                <w:color w:val="000000" w:themeColor="text1"/>
                <w:szCs w:val="16"/>
              </w:rPr>
              <w:t>05/25/2022</w:t>
            </w:r>
          </w:p>
        </w:tc>
        <w:tc>
          <w:tcPr>
            <w:tcW w:w="1625" w:type="pct"/>
            <w:shd w:val="clear" w:color="auto" w:fill="auto"/>
          </w:tcPr>
          <w:p w14:paraId="4DBDAFD8" w14:textId="70B6722B"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1040" w:type="pct"/>
            <w:shd w:val="clear" w:color="auto" w:fill="auto"/>
          </w:tcPr>
          <w:p w14:paraId="010FD1F1" w14:textId="7C43793B" w:rsidR="005A75AD" w:rsidRPr="00781112" w:rsidRDefault="005A75AD" w:rsidP="005A75AD">
            <w:pPr>
              <w:jc w:val="center"/>
              <w:rPr>
                <w:rFonts w:cs="Arial"/>
                <w:color w:val="000000" w:themeColor="text1"/>
                <w:szCs w:val="16"/>
              </w:rPr>
            </w:pPr>
          </w:p>
        </w:tc>
      </w:tr>
      <w:tr w:rsidR="005A75AD" w:rsidRPr="00781112" w14:paraId="032776B0" w14:textId="77777777" w:rsidTr="00044B5C">
        <w:trPr>
          <w:trHeight w:val="380"/>
        </w:trPr>
        <w:tc>
          <w:tcPr>
            <w:tcW w:w="1348" w:type="pct"/>
            <w:shd w:val="clear" w:color="auto" w:fill="auto"/>
          </w:tcPr>
          <w:p w14:paraId="5813DAD1" w14:textId="06D60F55" w:rsidR="005A75AD" w:rsidRPr="00781112" w:rsidRDefault="005A75AD" w:rsidP="005A75AD">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0CBE5647" w14:textId="5D16DC3C" w:rsidR="005A75AD" w:rsidRPr="00781112" w:rsidRDefault="005A75AD" w:rsidP="005A75AD">
            <w:pPr>
              <w:jc w:val="center"/>
              <w:rPr>
                <w:rFonts w:cs="Arial"/>
                <w:color w:val="000000" w:themeColor="text1"/>
                <w:szCs w:val="16"/>
              </w:rPr>
            </w:pPr>
            <w:r w:rsidRPr="00781112">
              <w:rPr>
                <w:rFonts w:cs="Arial"/>
                <w:color w:val="000000" w:themeColor="text1"/>
                <w:szCs w:val="16"/>
              </w:rPr>
              <w:t>05/25/2022</w:t>
            </w:r>
          </w:p>
        </w:tc>
        <w:tc>
          <w:tcPr>
            <w:tcW w:w="1625" w:type="pct"/>
            <w:shd w:val="clear" w:color="auto" w:fill="auto"/>
          </w:tcPr>
          <w:p w14:paraId="7D0086CE" w14:textId="510BD804"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receiving a certificate (c)</w:t>
            </w:r>
          </w:p>
        </w:tc>
        <w:tc>
          <w:tcPr>
            <w:tcW w:w="1040" w:type="pct"/>
            <w:shd w:val="clear" w:color="auto" w:fill="auto"/>
          </w:tcPr>
          <w:p w14:paraId="184082B3" w14:textId="438EC66B" w:rsidR="005A75AD" w:rsidRPr="00781112" w:rsidRDefault="005A75AD" w:rsidP="005A75AD">
            <w:pPr>
              <w:jc w:val="center"/>
              <w:rPr>
                <w:rFonts w:cs="Arial"/>
                <w:color w:val="000000" w:themeColor="text1"/>
                <w:szCs w:val="16"/>
              </w:rPr>
            </w:pPr>
          </w:p>
        </w:tc>
      </w:tr>
      <w:tr w:rsidR="00E1624B" w:rsidRPr="00781112" w14:paraId="73AB7466" w14:textId="77777777" w:rsidTr="00044B5C">
        <w:trPr>
          <w:trHeight w:val="380"/>
        </w:trPr>
        <w:tc>
          <w:tcPr>
            <w:tcW w:w="1348" w:type="pct"/>
            <w:shd w:val="clear" w:color="auto" w:fill="auto"/>
          </w:tcPr>
          <w:p w14:paraId="4B56ED01" w14:textId="0B62D17A" w:rsidR="00E1624B" w:rsidRPr="00781112" w:rsidRDefault="00E1624B" w:rsidP="00E1624B">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60CF2903" w14:textId="690ADEAE" w:rsidR="00E1624B" w:rsidRPr="00781112" w:rsidRDefault="00E1624B" w:rsidP="00E1624B">
            <w:pPr>
              <w:jc w:val="center"/>
              <w:rPr>
                <w:rFonts w:cs="Arial"/>
                <w:color w:val="000000" w:themeColor="text1"/>
                <w:szCs w:val="16"/>
              </w:rPr>
            </w:pPr>
            <w:r w:rsidRPr="00781112">
              <w:rPr>
                <w:rFonts w:cs="Arial"/>
                <w:color w:val="000000" w:themeColor="text1"/>
                <w:szCs w:val="16"/>
              </w:rPr>
              <w:t>05/25/2022</w:t>
            </w:r>
          </w:p>
        </w:tc>
        <w:tc>
          <w:tcPr>
            <w:tcW w:w="1625" w:type="pct"/>
            <w:shd w:val="clear" w:color="auto" w:fill="auto"/>
          </w:tcPr>
          <w:p w14:paraId="06653647" w14:textId="36FF0607" w:rsidR="00E1624B" w:rsidRPr="00781112" w:rsidRDefault="00E1624B">
            <w:pPr>
              <w:rPr>
                <w:rFonts w:cs="Arial"/>
                <w:szCs w:val="16"/>
              </w:rPr>
            </w:pPr>
            <w:r w:rsidRPr="00781112">
              <w:rPr>
                <w:rFonts w:cs="Arial"/>
                <w:szCs w:val="16"/>
              </w:rPr>
              <w:t>Number of youth with IEPs (ages 14-21) who exited special education by reaching maximum age (d)</w:t>
            </w:r>
          </w:p>
        </w:tc>
        <w:tc>
          <w:tcPr>
            <w:tcW w:w="1040" w:type="pct"/>
            <w:shd w:val="clear" w:color="auto" w:fill="auto"/>
          </w:tcPr>
          <w:p w14:paraId="73E001A1" w14:textId="747191F4" w:rsidR="00E1624B" w:rsidRPr="00781112" w:rsidRDefault="00E1624B" w:rsidP="00E1624B">
            <w:pPr>
              <w:jc w:val="center"/>
              <w:rPr>
                <w:rFonts w:cs="Arial"/>
                <w:color w:val="000000" w:themeColor="text1"/>
                <w:szCs w:val="16"/>
              </w:rPr>
            </w:pPr>
            <w:r w:rsidRPr="00781112">
              <w:rPr>
                <w:rFonts w:cs="Arial"/>
                <w:color w:val="000000" w:themeColor="text1"/>
                <w:szCs w:val="16"/>
              </w:rPr>
              <w:t>1</w:t>
            </w:r>
          </w:p>
        </w:tc>
      </w:tr>
      <w:tr w:rsidR="00E1624B" w:rsidRPr="00781112" w14:paraId="14CC53E0" w14:textId="77777777" w:rsidTr="00044B5C">
        <w:trPr>
          <w:trHeight w:val="380"/>
        </w:trPr>
        <w:tc>
          <w:tcPr>
            <w:tcW w:w="1348" w:type="pct"/>
            <w:shd w:val="clear" w:color="auto" w:fill="auto"/>
          </w:tcPr>
          <w:p w14:paraId="3B200D0B" w14:textId="610D9D3D" w:rsidR="00E1624B" w:rsidRPr="00781112" w:rsidRDefault="00E1624B" w:rsidP="00E1624B">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57A125A7" w14:textId="625619CE" w:rsidR="00E1624B" w:rsidRPr="00781112" w:rsidRDefault="00E1624B" w:rsidP="00E1624B">
            <w:pPr>
              <w:jc w:val="center"/>
              <w:rPr>
                <w:rFonts w:cs="Arial"/>
                <w:color w:val="000000" w:themeColor="text1"/>
                <w:szCs w:val="16"/>
              </w:rPr>
            </w:pPr>
            <w:r w:rsidRPr="00781112">
              <w:rPr>
                <w:rFonts w:cs="Arial"/>
                <w:color w:val="000000" w:themeColor="text1"/>
                <w:szCs w:val="16"/>
              </w:rPr>
              <w:t>05/25/2022</w:t>
            </w:r>
          </w:p>
        </w:tc>
        <w:tc>
          <w:tcPr>
            <w:tcW w:w="1625" w:type="pct"/>
            <w:shd w:val="clear" w:color="auto" w:fill="auto"/>
          </w:tcPr>
          <w:p w14:paraId="5C2E5C85" w14:textId="316DABB1" w:rsidR="00E1624B" w:rsidRPr="00781112" w:rsidRDefault="00E1624B" w:rsidP="00E1624B">
            <w:pPr>
              <w:rPr>
                <w:rFonts w:cs="Arial"/>
                <w:szCs w:val="16"/>
              </w:rPr>
            </w:pPr>
            <w:r w:rsidRPr="00781112">
              <w:rPr>
                <w:rFonts w:cs="Arial"/>
                <w:szCs w:val="16"/>
              </w:rPr>
              <w:t>Number of youth with IEPs (ages 14-21) who exited special education due to dropping out (e)</w:t>
            </w:r>
          </w:p>
        </w:tc>
        <w:tc>
          <w:tcPr>
            <w:tcW w:w="1040" w:type="pct"/>
            <w:shd w:val="clear" w:color="auto" w:fill="auto"/>
          </w:tcPr>
          <w:p w14:paraId="79A046E2" w14:textId="17FE2759" w:rsidR="00E1624B" w:rsidRPr="00781112" w:rsidRDefault="00E1624B" w:rsidP="00E1624B">
            <w:pPr>
              <w:jc w:val="center"/>
              <w:rPr>
                <w:rFonts w:cs="Arial"/>
                <w:color w:val="000000" w:themeColor="text1"/>
                <w:szCs w:val="16"/>
              </w:rPr>
            </w:pPr>
            <w:r w:rsidRPr="00781112">
              <w:rPr>
                <w:rFonts w:cs="Arial"/>
                <w:color w:val="000000" w:themeColor="text1"/>
                <w:szCs w:val="16"/>
              </w:rPr>
              <w:t>2,387</w:t>
            </w:r>
          </w:p>
        </w:tc>
      </w:tr>
    </w:tbl>
    <w:p w14:paraId="0D2CDC7B" w14:textId="77777777" w:rsidR="00654A4B" w:rsidRPr="00781112" w:rsidRDefault="00654A4B" w:rsidP="00B65C2C">
      <w:pPr>
        <w:rPr>
          <w:color w:val="000000" w:themeColor="text1"/>
        </w:rPr>
      </w:pPr>
    </w:p>
    <w:p w14:paraId="7939D078" w14:textId="460D13CB" w:rsidR="00995737" w:rsidRPr="00781112" w:rsidRDefault="0047313F" w:rsidP="00C74928">
      <w:pPr>
        <w:keepNext/>
        <w:rPr>
          <w:b/>
          <w:bCs/>
          <w:color w:val="000000" w:themeColor="text1"/>
        </w:rPr>
      </w:pPr>
      <w:r>
        <w:rPr>
          <w:b/>
          <w:bCs/>
          <w:color w:val="000000" w:themeColor="text1"/>
        </w:rPr>
        <w:lastRenderedPageBreak/>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502"/>
        <w:gridCol w:w="1688"/>
        <w:gridCol w:w="1344"/>
        <w:gridCol w:w="2022"/>
        <w:gridCol w:w="1208"/>
        <w:gridCol w:w="1539"/>
        <w:gridCol w:w="1487"/>
      </w:tblGrid>
      <w:tr w:rsidR="0047313F" w:rsidRPr="00781112" w14:paraId="02722994" w14:textId="4BCF686A" w:rsidTr="0047313F">
        <w:trPr>
          <w:trHeight w:val="333"/>
          <w:tblHeader/>
        </w:trPr>
        <w:tc>
          <w:tcPr>
            <w:tcW w:w="696" w:type="pct"/>
            <w:shd w:val="clear" w:color="auto" w:fill="auto"/>
            <w:vAlign w:val="bottom"/>
          </w:tcPr>
          <w:p w14:paraId="272BBF68" w14:textId="161B6D1A"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Number of youth with IEPs (ages 14-21) who exited special education due to graduating with a regular high school diploma</w:t>
            </w:r>
          </w:p>
        </w:tc>
        <w:tc>
          <w:tcPr>
            <w:tcW w:w="782" w:type="pct"/>
            <w:shd w:val="clear" w:color="auto" w:fill="auto"/>
            <w:vAlign w:val="bottom"/>
          </w:tcPr>
          <w:p w14:paraId="055EF61F" w14:textId="6ADAF307" w:rsidR="0047313F" w:rsidRPr="00781112" w:rsidRDefault="0047313F" w:rsidP="0047313F">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623" w:type="pct"/>
            <w:shd w:val="clear" w:color="auto" w:fill="auto"/>
            <w:vAlign w:val="bottom"/>
          </w:tcPr>
          <w:p w14:paraId="74998318" w14:textId="7EBD313A" w:rsidR="0047313F" w:rsidRPr="00073BD7" w:rsidRDefault="0047313F" w:rsidP="0047313F">
            <w:pPr>
              <w:spacing w:after="0"/>
              <w:jc w:val="center"/>
              <w:rPr>
                <w:rFonts w:cs="Arial"/>
                <w:b/>
                <w:bCs/>
                <w:color w:val="000000" w:themeColor="text1"/>
                <w:szCs w:val="16"/>
              </w:rPr>
            </w:pPr>
            <w:r w:rsidRPr="00073BD7">
              <w:rPr>
                <w:b/>
                <w:bCs/>
              </w:rPr>
              <w:t>FFY 2020 Data</w:t>
            </w:r>
          </w:p>
        </w:tc>
        <w:tc>
          <w:tcPr>
            <w:tcW w:w="937" w:type="pct"/>
            <w:shd w:val="clear" w:color="auto" w:fill="auto"/>
            <w:vAlign w:val="bottom"/>
          </w:tcPr>
          <w:p w14:paraId="5A1C61A6" w14:textId="3B168025" w:rsidR="0047313F" w:rsidRPr="00073BD7" w:rsidRDefault="0047313F" w:rsidP="0047313F">
            <w:pPr>
              <w:spacing w:after="0"/>
              <w:jc w:val="center"/>
              <w:rPr>
                <w:rFonts w:cs="Arial"/>
                <w:b/>
                <w:bCs/>
                <w:color w:val="000000" w:themeColor="text1"/>
                <w:szCs w:val="16"/>
              </w:rPr>
            </w:pPr>
            <w:r w:rsidRPr="00073BD7">
              <w:rPr>
                <w:b/>
                <w:bCs/>
              </w:rPr>
              <w:t>FFY 2021 Target</w:t>
            </w:r>
          </w:p>
        </w:tc>
        <w:tc>
          <w:tcPr>
            <w:tcW w:w="560" w:type="pct"/>
            <w:shd w:val="clear" w:color="auto" w:fill="auto"/>
            <w:vAlign w:val="bottom"/>
          </w:tcPr>
          <w:p w14:paraId="51DD5A1B" w14:textId="693EF1DE" w:rsidR="0047313F" w:rsidRPr="00073BD7" w:rsidRDefault="0047313F" w:rsidP="0047313F">
            <w:pPr>
              <w:spacing w:after="0"/>
              <w:jc w:val="center"/>
              <w:rPr>
                <w:rFonts w:cs="Arial"/>
                <w:b/>
                <w:bCs/>
                <w:color w:val="000000" w:themeColor="text1"/>
                <w:szCs w:val="16"/>
              </w:rPr>
            </w:pPr>
            <w:r w:rsidRPr="00073BD7">
              <w:rPr>
                <w:b/>
                <w:bCs/>
              </w:rPr>
              <w:t>FFY 2021 Data</w:t>
            </w:r>
          </w:p>
        </w:tc>
        <w:tc>
          <w:tcPr>
            <w:tcW w:w="713" w:type="pct"/>
            <w:shd w:val="clear" w:color="auto" w:fill="auto"/>
            <w:vAlign w:val="bottom"/>
          </w:tcPr>
          <w:p w14:paraId="23C86FAA" w14:textId="7FC8D54B"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Status</w:t>
            </w:r>
          </w:p>
        </w:tc>
        <w:tc>
          <w:tcPr>
            <w:tcW w:w="690" w:type="pct"/>
            <w:shd w:val="clear" w:color="auto" w:fill="auto"/>
            <w:vAlign w:val="bottom"/>
          </w:tcPr>
          <w:p w14:paraId="6EE58552" w14:textId="4AA8F220"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601A0599" w14:textId="76387A52" w:rsidTr="0047313F">
        <w:trPr>
          <w:trHeight w:val="340"/>
        </w:trPr>
        <w:tc>
          <w:tcPr>
            <w:tcW w:w="696" w:type="pct"/>
            <w:shd w:val="clear" w:color="auto" w:fill="auto"/>
            <w:vAlign w:val="center"/>
          </w:tcPr>
          <w:p w14:paraId="70B1C138" w14:textId="6CAA41C3" w:rsidR="0098478C" w:rsidRPr="00781112" w:rsidRDefault="002B7490" w:rsidP="00A018D4">
            <w:pPr>
              <w:jc w:val="center"/>
              <w:rPr>
                <w:rFonts w:cs="Arial"/>
                <w:color w:val="000000" w:themeColor="text1"/>
                <w:szCs w:val="16"/>
              </w:rPr>
            </w:pPr>
            <w:r w:rsidRPr="00781112">
              <w:rPr>
                <w:rFonts w:cs="Arial"/>
                <w:color w:val="000000" w:themeColor="text1"/>
                <w:szCs w:val="16"/>
              </w:rPr>
              <w:t>6,185</w:t>
            </w:r>
          </w:p>
        </w:tc>
        <w:tc>
          <w:tcPr>
            <w:tcW w:w="782" w:type="pct"/>
            <w:shd w:val="clear" w:color="auto" w:fill="auto"/>
          </w:tcPr>
          <w:p w14:paraId="614E7B59" w14:textId="5AA9B72C" w:rsidR="0098478C" w:rsidRPr="00781112" w:rsidRDefault="002B7490" w:rsidP="00A018D4">
            <w:pPr>
              <w:jc w:val="center"/>
              <w:rPr>
                <w:rFonts w:cs="Arial"/>
                <w:color w:val="000000" w:themeColor="text1"/>
                <w:szCs w:val="16"/>
              </w:rPr>
            </w:pPr>
            <w:r w:rsidRPr="00781112">
              <w:rPr>
                <w:rFonts w:cs="Arial"/>
                <w:color w:val="000000" w:themeColor="text1"/>
                <w:szCs w:val="16"/>
              </w:rPr>
              <w:t>8,573</w:t>
            </w:r>
          </w:p>
        </w:tc>
        <w:tc>
          <w:tcPr>
            <w:tcW w:w="623" w:type="pct"/>
            <w:shd w:val="clear" w:color="auto" w:fill="auto"/>
          </w:tcPr>
          <w:p w14:paraId="02406DF0" w14:textId="52BAECC6" w:rsidR="0098478C" w:rsidRPr="00781112" w:rsidRDefault="002B7490" w:rsidP="00A018D4">
            <w:pPr>
              <w:jc w:val="center"/>
              <w:rPr>
                <w:rFonts w:cs="Arial"/>
                <w:color w:val="000000" w:themeColor="text1"/>
                <w:szCs w:val="16"/>
              </w:rPr>
            </w:pPr>
            <w:r w:rsidRPr="00781112">
              <w:rPr>
                <w:rFonts w:cs="Arial"/>
                <w:color w:val="000000" w:themeColor="text1"/>
                <w:szCs w:val="16"/>
              </w:rPr>
              <w:t>84.63%</w:t>
            </w:r>
          </w:p>
        </w:tc>
        <w:tc>
          <w:tcPr>
            <w:tcW w:w="937" w:type="pct"/>
            <w:shd w:val="clear" w:color="auto" w:fill="auto"/>
          </w:tcPr>
          <w:p w14:paraId="2398C001" w14:textId="76ED9E04" w:rsidR="0098478C" w:rsidRPr="00781112" w:rsidRDefault="002B7490" w:rsidP="00A018D4">
            <w:pPr>
              <w:jc w:val="center"/>
              <w:rPr>
                <w:rFonts w:cs="Arial"/>
                <w:color w:val="000000" w:themeColor="text1"/>
                <w:szCs w:val="16"/>
              </w:rPr>
            </w:pPr>
            <w:r w:rsidRPr="00781112">
              <w:rPr>
                <w:rFonts w:cs="Arial"/>
                <w:color w:val="000000" w:themeColor="text1"/>
                <w:szCs w:val="16"/>
              </w:rPr>
              <w:t>85.00%</w:t>
            </w:r>
          </w:p>
        </w:tc>
        <w:tc>
          <w:tcPr>
            <w:tcW w:w="560" w:type="pct"/>
            <w:shd w:val="clear" w:color="auto" w:fill="auto"/>
          </w:tcPr>
          <w:p w14:paraId="4A53AF2D" w14:textId="3BE4EB07" w:rsidR="0098478C" w:rsidRPr="00781112" w:rsidRDefault="002B7490" w:rsidP="00A018D4">
            <w:pPr>
              <w:jc w:val="center"/>
              <w:rPr>
                <w:rFonts w:cs="Arial"/>
                <w:color w:val="000000" w:themeColor="text1"/>
                <w:szCs w:val="16"/>
              </w:rPr>
            </w:pPr>
            <w:r w:rsidRPr="00781112">
              <w:rPr>
                <w:rFonts w:cs="Arial"/>
                <w:color w:val="000000" w:themeColor="text1"/>
                <w:szCs w:val="16"/>
              </w:rPr>
              <w:t>72.15%</w:t>
            </w:r>
          </w:p>
        </w:tc>
        <w:tc>
          <w:tcPr>
            <w:tcW w:w="713" w:type="pct"/>
            <w:shd w:val="clear" w:color="auto" w:fill="auto"/>
          </w:tcPr>
          <w:p w14:paraId="0A60DC85" w14:textId="479F7096" w:rsidR="0098478C"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90" w:type="pct"/>
            <w:shd w:val="clear" w:color="auto" w:fill="auto"/>
          </w:tcPr>
          <w:p w14:paraId="6FB98C67" w14:textId="68AEDB07" w:rsidR="0098478C"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68A148EF" w14:textId="201EE2DF" w:rsidR="00120808" w:rsidRPr="00781112" w:rsidRDefault="00120808" w:rsidP="004369B2">
      <w:pPr>
        <w:rPr>
          <w:b/>
          <w:color w:val="000000" w:themeColor="text1"/>
        </w:rPr>
      </w:pPr>
      <w:r w:rsidRPr="00781112">
        <w:rPr>
          <w:b/>
          <w:color w:val="000000" w:themeColor="text1"/>
        </w:rPr>
        <w:t>Provide reasons for slippage, if applicable</w:t>
      </w:r>
    </w:p>
    <w:p w14:paraId="57093C7C" w14:textId="103154AB" w:rsidR="002D145D" w:rsidRPr="00781112" w:rsidRDefault="002B7490" w:rsidP="00AD3C71">
      <w:pPr>
        <w:rPr>
          <w:rFonts w:cs="Arial"/>
          <w:color w:val="000000" w:themeColor="text1"/>
          <w:szCs w:val="16"/>
        </w:rPr>
      </w:pPr>
      <w:r w:rsidRPr="00781112">
        <w:rPr>
          <w:rFonts w:cs="Arial"/>
          <w:color w:val="000000" w:themeColor="text1"/>
          <w:szCs w:val="16"/>
        </w:rPr>
        <w:t>The dramatic drop in the percentage of 14-21 year olds who exited with a regular high school diploma in SY 2020-2021 is due to the effects of the pandemic. Schools and students struggled with remote learning, quarantines, mental health, and other known challenges. Many more students dropped out across the state than in prior years in the general population as well, lowering the overall state graduation rate.</w:t>
      </w:r>
    </w:p>
    <w:p w14:paraId="2BB119D0" w14:textId="387277D1" w:rsidR="005E59DB" w:rsidRPr="00781112" w:rsidRDefault="005E59DB" w:rsidP="004369B2">
      <w:pPr>
        <w:rPr>
          <w:color w:val="000000" w:themeColor="text1"/>
        </w:rPr>
      </w:pPr>
      <w:r w:rsidRPr="00781112">
        <w:rPr>
          <w:b/>
          <w:color w:val="000000" w:themeColor="text1"/>
        </w:rPr>
        <w:t xml:space="preserve">Graduation Conditions </w:t>
      </w:r>
    </w:p>
    <w:p w14:paraId="44381070" w14:textId="5786BC0C"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in order to graduate with a regular high school diploma. </w:t>
      </w:r>
    </w:p>
    <w:p w14:paraId="7C1B3984" w14:textId="08BD1460" w:rsidR="002D145D" w:rsidRPr="00781112" w:rsidRDefault="002B7490" w:rsidP="006618C8">
      <w:pPr>
        <w:rPr>
          <w:rFonts w:cs="Arial"/>
          <w:color w:val="000000" w:themeColor="text1"/>
          <w:szCs w:val="16"/>
        </w:rPr>
      </w:pPr>
      <w:r w:rsidRPr="00781112">
        <w:rPr>
          <w:rFonts w:cs="Arial"/>
          <w:color w:val="000000" w:themeColor="text1"/>
          <w:szCs w:val="16"/>
        </w:rPr>
        <w:t>In order to graduate from a public high school accredited by the State Board of Education with a standard diploma, students shall either complete the requirements for the college preparatory/work ready curriculum or the core curriculum. Please see the following link for the graduation requirements checklists for both curriculum paths (https://sde.ok.gov/achieving-classroom-excellence-resources). Students with disabilities do not have different graduation requirements. No alternative diploma yet exists.</w:t>
      </w:r>
    </w:p>
    <w:p w14:paraId="58C36CC8" w14:textId="7DE9B0CE"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0930BD95" w14:textId="4EF39A81" w:rsidR="00F672DF" w:rsidRPr="00781112" w:rsidRDefault="00F672DF" w:rsidP="006618C8">
      <w:pPr>
        <w:rPr>
          <w:rFonts w:cs="Arial"/>
          <w:color w:val="000000" w:themeColor="text1"/>
          <w:szCs w:val="16"/>
        </w:rPr>
      </w:pPr>
      <w:r w:rsidRPr="00781112">
        <w:rPr>
          <w:rFonts w:cs="Arial"/>
          <w:color w:val="000000" w:themeColor="text1"/>
          <w:szCs w:val="16"/>
        </w:rPr>
        <w:t>NO</w:t>
      </w:r>
    </w:p>
    <w:p w14:paraId="51BF8B64" w14:textId="746664C9" w:rsidR="0098478C" w:rsidRPr="00781112" w:rsidRDefault="0098478C" w:rsidP="004369B2">
      <w:pPr>
        <w:rPr>
          <w:b/>
          <w:color w:val="000000" w:themeColor="text1"/>
        </w:rPr>
      </w:pPr>
      <w:r w:rsidRPr="00781112">
        <w:rPr>
          <w:b/>
          <w:color w:val="000000" w:themeColor="text1"/>
        </w:rPr>
        <w:t>Provide additional information about this indicator (optional)</w:t>
      </w:r>
    </w:p>
    <w:p w14:paraId="2CDAC437" w14:textId="58A5CDB2" w:rsidR="002D145D" w:rsidRPr="00781112" w:rsidRDefault="002B7490" w:rsidP="000E33D0">
      <w:pPr>
        <w:rPr>
          <w:rFonts w:cs="Arial"/>
          <w:color w:val="000000" w:themeColor="text1"/>
          <w:szCs w:val="16"/>
        </w:rPr>
      </w:pPr>
      <w:r w:rsidRPr="00781112">
        <w:rPr>
          <w:rFonts w:cs="Arial"/>
          <w:color w:val="000000" w:themeColor="text1"/>
          <w:szCs w:val="16"/>
        </w:rPr>
        <w:t>Exiting data for SY 21-22 are already known, and the graduation rate has increased substantially but is not yet at target. It is possible that Oklahoma will reconsider baseline and targets again next year, depending on the graduation results for SY 22-23. We expect rates to continue to improve, but also know that the pandemic has created many long-term challenges for students and schools.</w:t>
      </w:r>
    </w:p>
    <w:p w14:paraId="7D2A5658" w14:textId="39995CE7" w:rsidR="000C60E1" w:rsidRPr="00781112" w:rsidRDefault="00B0742B" w:rsidP="008645AD">
      <w:pPr>
        <w:pStyle w:val="Heading2"/>
      </w:pPr>
      <w:bookmarkStart w:id="5" w:name="_Toc382082358"/>
      <w:r w:rsidRPr="00781112">
        <w:t>1</w:t>
      </w:r>
      <w:r w:rsidR="00684B51" w:rsidRPr="00781112">
        <w:t xml:space="preserve"> </w:t>
      </w:r>
      <w:r w:rsidRPr="00781112">
        <w:t xml:space="preserve">- </w:t>
      </w:r>
      <w:r w:rsidR="002D145D" w:rsidRPr="00781112">
        <w:t>Prior FFY Required Actions</w:t>
      </w:r>
    </w:p>
    <w:p w14:paraId="42534530" w14:textId="7BEF428C" w:rsidR="002D145D" w:rsidRPr="00781112" w:rsidRDefault="002B7490" w:rsidP="00CE5723">
      <w:pPr>
        <w:rPr>
          <w:rFonts w:cs="Arial"/>
          <w:color w:val="000000" w:themeColor="text1"/>
          <w:szCs w:val="16"/>
        </w:rPr>
      </w:pPr>
      <w:r w:rsidRPr="00781112">
        <w:rPr>
          <w:rFonts w:cs="Arial"/>
          <w:color w:val="000000" w:themeColor="text1"/>
          <w:szCs w:val="16"/>
        </w:rPr>
        <w:t>None</w:t>
      </w:r>
    </w:p>
    <w:p w14:paraId="12317A47" w14:textId="75A98BEA" w:rsidR="00A2794A" w:rsidRPr="00781112" w:rsidRDefault="00A2794A" w:rsidP="00CE5723">
      <w:pPr>
        <w:rPr>
          <w:rFonts w:cs="Arial"/>
          <w:color w:val="000000" w:themeColor="text1"/>
          <w:szCs w:val="16"/>
        </w:rPr>
      </w:pPr>
    </w:p>
    <w:p w14:paraId="0D99EF95" w14:textId="4B8DDAD7" w:rsidR="004C462E" w:rsidRPr="00781112" w:rsidRDefault="00862B20" w:rsidP="008645AD">
      <w:pPr>
        <w:pStyle w:val="Heading2"/>
      </w:pPr>
      <w:r w:rsidRPr="00781112">
        <w:t>1</w:t>
      </w:r>
      <w:r w:rsidR="00684B51" w:rsidRPr="00781112">
        <w:t xml:space="preserve"> </w:t>
      </w:r>
      <w:r w:rsidRPr="00781112">
        <w:t xml:space="preserve">- </w:t>
      </w:r>
      <w:r w:rsidR="004C462E" w:rsidRPr="00781112">
        <w:t>OSEP Response</w:t>
      </w:r>
    </w:p>
    <w:p w14:paraId="47549565" w14:textId="0718C089" w:rsidR="002D145D" w:rsidRPr="00781112" w:rsidRDefault="002D145D" w:rsidP="001F692C">
      <w:pPr>
        <w:rPr>
          <w:rFonts w:cs="Arial"/>
          <w:color w:val="000000" w:themeColor="text1"/>
          <w:szCs w:val="16"/>
        </w:rPr>
      </w:pPr>
    </w:p>
    <w:p w14:paraId="5F7376D0" w14:textId="1C114A8A" w:rsidR="004C462E" w:rsidRPr="00781112" w:rsidRDefault="00B0742B" w:rsidP="008645AD">
      <w:pPr>
        <w:pStyle w:val="Heading2"/>
      </w:pPr>
      <w:bookmarkStart w:id="6" w:name="_Hlk21352084"/>
      <w:r w:rsidRPr="00781112">
        <w:t xml:space="preserve">1 - </w:t>
      </w:r>
      <w:bookmarkEnd w:id="6"/>
      <w:r w:rsidR="004C462E" w:rsidRPr="00781112">
        <w:t>Required Actions</w:t>
      </w:r>
    </w:p>
    <w:p w14:paraId="1EB5204A" w14:textId="0BB66F29" w:rsidR="002D145D" w:rsidRPr="00781112" w:rsidRDefault="002D145D" w:rsidP="001F692C">
      <w:pPr>
        <w:rPr>
          <w:rFonts w:cs="Arial"/>
          <w:color w:val="000000" w:themeColor="text1"/>
          <w:szCs w:val="16"/>
        </w:rPr>
      </w:pPr>
    </w:p>
    <w:p w14:paraId="14062900" w14:textId="77777777" w:rsidR="00D37BF0" w:rsidRPr="00781112" w:rsidRDefault="00D37BF0">
      <w:pPr>
        <w:spacing w:before="0" w:after="200" w:line="276" w:lineRule="auto"/>
        <w:rPr>
          <w:rFonts w:eastAsiaTheme="majorEastAsia" w:cs="Arial"/>
          <w:b/>
          <w:bCs/>
          <w:color w:val="000000" w:themeColor="text1"/>
          <w:szCs w:val="16"/>
        </w:rPr>
      </w:pPr>
      <w:bookmarkStart w:id="7" w:name="_Toc392159262"/>
      <w:r w:rsidRPr="00781112">
        <w:rPr>
          <w:rFonts w:cs="Arial"/>
          <w:color w:val="000000" w:themeColor="text1"/>
          <w:szCs w:val="16"/>
        </w:rPr>
        <w:br w:type="page"/>
      </w:r>
    </w:p>
    <w:p w14:paraId="06F42DD3" w14:textId="793A19C1" w:rsidR="00D21EAA" w:rsidRPr="00781112" w:rsidRDefault="00D21EAA">
      <w:pPr>
        <w:pStyle w:val="Heading1"/>
        <w:rPr>
          <w:color w:val="000000" w:themeColor="text1"/>
          <w:sz w:val="22"/>
        </w:rPr>
      </w:pPr>
      <w:r w:rsidRPr="00781112">
        <w:rPr>
          <w:color w:val="000000" w:themeColor="text1"/>
          <w:sz w:val="22"/>
        </w:rPr>
        <w:lastRenderedPageBreak/>
        <w:t>Indicator 2: Drop Out</w:t>
      </w:r>
      <w:bookmarkEnd w:id="5"/>
      <w:bookmarkEnd w:id="7"/>
    </w:p>
    <w:p w14:paraId="7F31959F" w14:textId="6C15FFEB" w:rsidR="002C60D5" w:rsidRPr="00781112" w:rsidRDefault="002C60D5" w:rsidP="00A018D4">
      <w:pPr>
        <w:rPr>
          <w:color w:val="000000" w:themeColor="text1"/>
          <w:szCs w:val="20"/>
        </w:rPr>
      </w:pPr>
      <w:r w:rsidRPr="00781112">
        <w:rPr>
          <w:b/>
          <w:color w:val="000000" w:themeColor="text1"/>
          <w:sz w:val="20"/>
          <w:szCs w:val="20"/>
        </w:rPr>
        <w:t>Instructions and Measurement</w:t>
      </w:r>
    </w:p>
    <w:p w14:paraId="135DFB11" w14:textId="77777777" w:rsidR="00820751" w:rsidRPr="00651E83" w:rsidRDefault="00820751" w:rsidP="00820751">
      <w:pPr>
        <w:pStyle w:val="Subhed"/>
      </w:pPr>
      <w:bookmarkStart w:id="8" w:name="_Toc392159263"/>
      <w:r w:rsidRPr="00651E83">
        <w:t xml:space="preserve">Monitoring Priority: </w:t>
      </w:r>
      <w:r w:rsidRPr="004A6DE5">
        <w:rPr>
          <w:b w:val="0"/>
        </w:rPr>
        <w:t>FAPE in the LRE</w:t>
      </w:r>
    </w:p>
    <w:p w14:paraId="1775856F" w14:textId="77777777" w:rsidR="00820751" w:rsidRPr="00651E83" w:rsidRDefault="00820751" w:rsidP="00820751">
      <w:pPr>
        <w:rPr>
          <w:rFonts w:cs="Arial"/>
          <w:szCs w:val="16"/>
        </w:rPr>
      </w:pPr>
      <w:r w:rsidRPr="00DC263A">
        <w:rPr>
          <w:rFonts w:cs="Arial"/>
          <w:b/>
          <w:szCs w:val="16"/>
        </w:rPr>
        <w:t>Results indicator</w:t>
      </w:r>
      <w:r w:rsidRPr="00651E83">
        <w:rPr>
          <w:rFonts w:cs="Arial"/>
          <w:szCs w:val="16"/>
        </w:rPr>
        <w:t>: Percent of youth with IEPs</w:t>
      </w:r>
      <w:r>
        <w:rPr>
          <w:rFonts w:cs="Arial"/>
          <w:szCs w:val="16"/>
        </w:rPr>
        <w:t xml:space="preserve"> who exited special education due to</w:t>
      </w:r>
      <w:r w:rsidRPr="00651E83">
        <w:rPr>
          <w:rFonts w:cs="Arial"/>
          <w:szCs w:val="16"/>
        </w:rPr>
        <w:t xml:space="preserve"> dropping out. (20 U.S.C. 1416 (a)(3)(A))</w:t>
      </w:r>
    </w:p>
    <w:p w14:paraId="128CA707" w14:textId="77777777" w:rsidR="00820751" w:rsidRPr="00651E83" w:rsidRDefault="00820751" w:rsidP="00820751">
      <w:pPr>
        <w:pStyle w:val="Subhed"/>
      </w:pPr>
      <w:r w:rsidRPr="00651E83">
        <w:t>Data Source</w:t>
      </w:r>
    </w:p>
    <w:p w14:paraId="38F077C2" w14:textId="77777777" w:rsidR="00820751" w:rsidRPr="00651E83" w:rsidRDefault="00820751" w:rsidP="00820751">
      <w:pPr>
        <w:rPr>
          <w:rFonts w:cs="Arial"/>
          <w:szCs w:val="16"/>
        </w:rPr>
      </w:pPr>
      <w:bookmarkStart w:id="9" w:name="_Hlk51055176"/>
      <w:r w:rsidRPr="00651E83">
        <w:rPr>
          <w:rFonts w:cs="Arial"/>
          <w:szCs w:val="16"/>
        </w:rPr>
        <w:t>Same data as used for reporting to the Department under section 618 of the Individuals with Disabilities Education Act (IDEA), using the definitions in EDFacts file specification FS009.</w:t>
      </w:r>
    </w:p>
    <w:bookmarkEnd w:id="9"/>
    <w:p w14:paraId="7C2F1A80" w14:textId="77777777" w:rsidR="00820751" w:rsidRPr="00651E83" w:rsidRDefault="00820751" w:rsidP="00820751">
      <w:pPr>
        <w:rPr>
          <w:rFonts w:cs="Arial"/>
          <w:szCs w:val="16"/>
        </w:rPr>
      </w:pPr>
      <w:r w:rsidRPr="00651E83">
        <w:rPr>
          <w:rFonts w:cs="Arial"/>
          <w:szCs w:val="16"/>
        </w:rPr>
        <w:t>Use same data source and measurement that the State used to report in its FFY 2010 SPP/APR that was submitted on February 1, 2012.</w:t>
      </w:r>
    </w:p>
    <w:p w14:paraId="36189637" w14:textId="77777777" w:rsidR="00820751" w:rsidRPr="00651E83" w:rsidRDefault="00820751" w:rsidP="00820751">
      <w:pPr>
        <w:pStyle w:val="Subhed"/>
      </w:pPr>
      <w:r w:rsidRPr="00651E83">
        <w:t>Measurement</w:t>
      </w:r>
    </w:p>
    <w:p w14:paraId="68477D3E" w14:textId="77777777" w:rsidR="00820751" w:rsidRPr="00651E83" w:rsidRDefault="00820751" w:rsidP="00820751">
      <w:pPr>
        <w:rPr>
          <w:rFonts w:cs="Arial"/>
          <w:szCs w:val="16"/>
        </w:rPr>
      </w:pPr>
      <w:r w:rsidRPr="00651E83">
        <w:rPr>
          <w:rFonts w:cs="Arial"/>
          <w:szCs w:val="16"/>
        </w:rPr>
        <w:t>States must report a percentage using the number of youth with IEPs (ages 14-21) who exited special education due to dropping out in the numerator and the number of all youth with IEPs who exited special education (ages 14-21) in the denominator.</w:t>
      </w:r>
    </w:p>
    <w:p w14:paraId="199C9562" w14:textId="77777777" w:rsidR="00820751" w:rsidRPr="00651E83" w:rsidRDefault="00820751" w:rsidP="00820751">
      <w:pPr>
        <w:pStyle w:val="Subhed"/>
      </w:pPr>
      <w:r w:rsidRPr="00651E83">
        <w:t>Instructions</w:t>
      </w:r>
    </w:p>
    <w:p w14:paraId="271B8C9F" w14:textId="77777777" w:rsidR="00820751" w:rsidRPr="00FE4C6C" w:rsidRDefault="00820751" w:rsidP="00820751">
      <w:pPr>
        <w:rPr>
          <w:rFonts w:cs="Arial"/>
          <w:i/>
          <w:iCs/>
          <w:szCs w:val="16"/>
        </w:rPr>
      </w:pPr>
      <w:r w:rsidRPr="00FE4C6C">
        <w:rPr>
          <w:rFonts w:cs="Arial"/>
          <w:i/>
          <w:iCs/>
          <w:szCs w:val="16"/>
        </w:rPr>
        <w:t>Sampling is not allowed.</w:t>
      </w:r>
    </w:p>
    <w:p w14:paraId="66EE7631" w14:textId="77777777" w:rsidR="00820751" w:rsidRDefault="00820751" w:rsidP="00820751">
      <w:pPr>
        <w:rPr>
          <w:rFonts w:cs="Arial"/>
          <w:szCs w:val="16"/>
        </w:rPr>
      </w:pPr>
      <w:r w:rsidRPr="00937503">
        <w:rPr>
          <w:rFonts w:cs="Arial"/>
          <w:szCs w:val="16"/>
        </w:rPr>
        <w:t>Data for this indicator are “lag” data. Describe the results of the State’s examination of the data for the year before the reporting year (e.g., for the FFY 2021 SPP/APR, use data from 2020-2021), and compare the results to the target.</w:t>
      </w:r>
    </w:p>
    <w:p w14:paraId="65392C1C" w14:textId="77777777" w:rsidR="00820751" w:rsidRPr="008E308B" w:rsidRDefault="00820751" w:rsidP="00820751">
      <w:pPr>
        <w:rPr>
          <w:rFonts w:cs="Arial"/>
          <w:szCs w:val="16"/>
        </w:rPr>
      </w:pPr>
      <w:r w:rsidRPr="00651E83">
        <w:rPr>
          <w:rFonts w:cs="Arial"/>
          <w:szCs w:val="16"/>
        </w:rPr>
        <w:t>Include in the denominator the following exiting categories: (a) graduated with a regular high school diploma; (b) graduated with a</w:t>
      </w:r>
    </w:p>
    <w:p w14:paraId="5D5E271B" w14:textId="77777777" w:rsidR="00820751" w:rsidRPr="00651E83" w:rsidRDefault="00820751" w:rsidP="00820751">
      <w:pPr>
        <w:rPr>
          <w:rFonts w:cs="Arial"/>
          <w:szCs w:val="16"/>
        </w:rPr>
      </w:pPr>
      <w:r w:rsidRPr="008E308B">
        <w:rPr>
          <w:rFonts w:cs="Arial"/>
          <w:szCs w:val="16"/>
        </w:rPr>
        <w:t xml:space="preserve">state-defined alternate diploma; (c) received a certificate; (d) reached maximum age; or (e) dropped out. </w:t>
      </w:r>
    </w:p>
    <w:p w14:paraId="000F1718" w14:textId="77777777" w:rsidR="00820751" w:rsidRPr="00651E83" w:rsidRDefault="00820751" w:rsidP="00820751">
      <w:pPr>
        <w:rPr>
          <w:rFonts w:cs="Arial"/>
          <w:szCs w:val="16"/>
        </w:rPr>
      </w:pPr>
      <w:r w:rsidRPr="00651E83">
        <w:rPr>
          <w:rFonts w:cs="Arial"/>
          <w:szCs w:val="16"/>
        </w:rPr>
        <w:t>Do not include in the denominator the number of youths with IEPs who exited special education due to: (a) transferring to regular education; or (b) who moved but are known to be continuing in an educational program.</w:t>
      </w:r>
    </w:p>
    <w:p w14:paraId="5DF5B6DA" w14:textId="77777777" w:rsidR="00820751" w:rsidRPr="00651E83" w:rsidRDefault="00820751" w:rsidP="00820751">
      <w:pPr>
        <w:rPr>
          <w:rFonts w:cs="Arial"/>
          <w:szCs w:val="16"/>
        </w:rPr>
      </w:pPr>
      <w:r w:rsidRPr="00651E83">
        <w:rPr>
          <w:rFonts w:cs="Arial"/>
          <w:szCs w:val="16"/>
        </w:rPr>
        <w:t>Use the annual event school dropout rate for students leaving a school in a single year determined in accordance with the National Center for Education Statistic's Common Core of Data.</w:t>
      </w:r>
    </w:p>
    <w:p w14:paraId="37EF3DEB" w14:textId="77777777" w:rsidR="00820751" w:rsidRDefault="00820751" w:rsidP="00820751">
      <w:pPr>
        <w:rPr>
          <w:rFonts w:cs="Arial"/>
          <w:szCs w:val="16"/>
        </w:rPr>
      </w:pPr>
      <w:r w:rsidRPr="0019013F">
        <w:rPr>
          <w:rFonts w:cs="Arial"/>
          <w:szCs w:val="16"/>
        </w:rPr>
        <w:t>Provide a narrative that describes what counts as dropping out for all youth. Please explain if there is a difference between what counts as dropping out for all students and what counts as dropping out for students with IEPs.</w:t>
      </w:r>
    </w:p>
    <w:bookmarkEnd w:id="8"/>
    <w:p w14:paraId="7F3C4C70" w14:textId="5E656134" w:rsidR="002C60D5" w:rsidRPr="00781112" w:rsidRDefault="00F914B4" w:rsidP="008645AD">
      <w:pPr>
        <w:pStyle w:val="Heading2"/>
      </w:pPr>
      <w:r w:rsidRPr="00781112">
        <w:t>2</w:t>
      </w:r>
      <w:r w:rsidR="00684B51" w:rsidRPr="00781112">
        <w:t xml:space="preserve"> </w:t>
      </w:r>
      <w:r w:rsidRPr="00781112">
        <w:t xml:space="preserve">- </w:t>
      </w:r>
      <w:r w:rsidR="002C60D5" w:rsidRPr="00781112">
        <w:t>Indicator Data</w:t>
      </w:r>
    </w:p>
    <w:p w14:paraId="6F5DCECF" w14:textId="739F0BA3" w:rsidR="00907A35" w:rsidRPr="00781112" w:rsidRDefault="00907A3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628BEDAF" w14:textId="77777777" w:rsidTr="0033429D">
        <w:trPr>
          <w:trHeight w:val="311"/>
          <w:tblHeader/>
        </w:trPr>
        <w:tc>
          <w:tcPr>
            <w:tcW w:w="1797" w:type="dxa"/>
          </w:tcPr>
          <w:p w14:paraId="43FEF78C"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76B82F6"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4706A01B" w14:textId="77777777" w:rsidTr="0033429D">
        <w:trPr>
          <w:trHeight w:val="311"/>
        </w:trPr>
        <w:tc>
          <w:tcPr>
            <w:tcW w:w="1797" w:type="dxa"/>
            <w:vAlign w:val="center"/>
          </w:tcPr>
          <w:p w14:paraId="2D2A3601" w14:textId="2E05C132" w:rsidR="008F3F33" w:rsidRPr="00781112" w:rsidRDefault="008F3F33" w:rsidP="002B6965">
            <w:pPr>
              <w:jc w:val="center"/>
              <w:rPr>
                <w:bCs/>
                <w:color w:val="000000" w:themeColor="text1"/>
              </w:rPr>
            </w:pPr>
            <w:r w:rsidRPr="00781112">
              <w:rPr>
                <w:bCs/>
                <w:color w:val="000000" w:themeColor="text1"/>
              </w:rPr>
              <w:t>2011</w:t>
            </w:r>
          </w:p>
        </w:tc>
        <w:tc>
          <w:tcPr>
            <w:tcW w:w="1798" w:type="dxa"/>
            <w:vAlign w:val="center"/>
          </w:tcPr>
          <w:p w14:paraId="47669FA0" w14:textId="71ECEF5D" w:rsidR="008F3F33" w:rsidRPr="00781112" w:rsidRDefault="008F3F33" w:rsidP="002B6965">
            <w:pPr>
              <w:jc w:val="center"/>
              <w:rPr>
                <w:bCs/>
                <w:color w:val="000000" w:themeColor="text1"/>
              </w:rPr>
            </w:pPr>
            <w:r w:rsidRPr="00781112">
              <w:rPr>
                <w:bCs/>
                <w:color w:val="000000" w:themeColor="text1"/>
              </w:rPr>
              <w:t>20.70%</w:t>
            </w:r>
          </w:p>
        </w:tc>
      </w:tr>
    </w:tbl>
    <w:p w14:paraId="1D724648"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4B5BBF62" w14:textId="77777777" w:rsidTr="00DF4C35">
        <w:trPr>
          <w:trHeight w:val="350"/>
        </w:trPr>
        <w:tc>
          <w:tcPr>
            <w:tcW w:w="833" w:type="pct"/>
            <w:tcBorders>
              <w:bottom w:val="single" w:sz="4" w:space="0" w:color="auto"/>
            </w:tcBorders>
            <w:shd w:val="clear" w:color="auto" w:fill="auto"/>
          </w:tcPr>
          <w:p w14:paraId="7CE940CD" w14:textId="77777777" w:rsidR="00907A35" w:rsidRPr="00781112" w:rsidRDefault="00907A35" w:rsidP="004369B2">
            <w:pPr>
              <w:jc w:val="center"/>
              <w:rPr>
                <w:b/>
                <w:color w:val="000000" w:themeColor="text1"/>
              </w:rPr>
            </w:pPr>
            <w:r w:rsidRPr="00781112">
              <w:rPr>
                <w:b/>
                <w:color w:val="000000" w:themeColor="text1"/>
              </w:rPr>
              <w:t>FFY</w:t>
            </w:r>
          </w:p>
        </w:tc>
        <w:tc>
          <w:tcPr>
            <w:tcW w:w="833" w:type="pct"/>
            <w:shd w:val="clear" w:color="auto" w:fill="auto"/>
          </w:tcPr>
          <w:p w14:paraId="1B67E69F" w14:textId="56F9072E" w:rsidR="00907A35" w:rsidRPr="00781112" w:rsidRDefault="002B7490" w:rsidP="00894709">
            <w:pPr>
              <w:jc w:val="center"/>
              <w:rPr>
                <w:b/>
                <w:color w:val="000000" w:themeColor="text1"/>
              </w:rPr>
            </w:pPr>
            <w:r w:rsidRPr="00781112">
              <w:rPr>
                <w:b/>
                <w:color w:val="000000" w:themeColor="text1"/>
              </w:rPr>
              <w:t>2016</w:t>
            </w:r>
          </w:p>
        </w:tc>
        <w:tc>
          <w:tcPr>
            <w:tcW w:w="833" w:type="pct"/>
            <w:shd w:val="clear" w:color="auto" w:fill="auto"/>
          </w:tcPr>
          <w:p w14:paraId="7C0715D5" w14:textId="197F633E" w:rsidR="00907A35" w:rsidRPr="00781112" w:rsidRDefault="002B7490" w:rsidP="00894709">
            <w:pPr>
              <w:jc w:val="center"/>
              <w:rPr>
                <w:b/>
                <w:color w:val="000000" w:themeColor="text1"/>
              </w:rPr>
            </w:pPr>
            <w:r w:rsidRPr="00781112">
              <w:rPr>
                <w:b/>
                <w:color w:val="000000" w:themeColor="text1"/>
              </w:rPr>
              <w:t>2017</w:t>
            </w:r>
          </w:p>
        </w:tc>
        <w:tc>
          <w:tcPr>
            <w:tcW w:w="833" w:type="pct"/>
            <w:shd w:val="clear" w:color="auto" w:fill="auto"/>
          </w:tcPr>
          <w:p w14:paraId="36DD95CC" w14:textId="1D95C11E" w:rsidR="00907A35" w:rsidRPr="00781112" w:rsidRDefault="002B7490" w:rsidP="00894709">
            <w:pPr>
              <w:jc w:val="center"/>
              <w:rPr>
                <w:b/>
                <w:color w:val="000000" w:themeColor="text1"/>
              </w:rPr>
            </w:pPr>
            <w:r w:rsidRPr="00781112">
              <w:rPr>
                <w:b/>
                <w:color w:val="000000" w:themeColor="text1"/>
              </w:rPr>
              <w:t>2018</w:t>
            </w:r>
          </w:p>
        </w:tc>
        <w:tc>
          <w:tcPr>
            <w:tcW w:w="833" w:type="pct"/>
            <w:shd w:val="clear" w:color="auto" w:fill="auto"/>
          </w:tcPr>
          <w:p w14:paraId="6DC8920B" w14:textId="560E0E60" w:rsidR="00907A35" w:rsidRPr="00781112" w:rsidRDefault="002B7490" w:rsidP="00894709">
            <w:pPr>
              <w:jc w:val="center"/>
              <w:rPr>
                <w:b/>
                <w:color w:val="000000" w:themeColor="text1"/>
              </w:rPr>
            </w:pPr>
            <w:r w:rsidRPr="00781112">
              <w:rPr>
                <w:b/>
                <w:color w:val="000000" w:themeColor="text1"/>
              </w:rPr>
              <w:t>2019</w:t>
            </w:r>
          </w:p>
        </w:tc>
        <w:tc>
          <w:tcPr>
            <w:tcW w:w="834" w:type="pct"/>
            <w:shd w:val="clear" w:color="auto" w:fill="auto"/>
          </w:tcPr>
          <w:p w14:paraId="42978F28" w14:textId="43280835" w:rsidR="00907A35" w:rsidRPr="00781112" w:rsidRDefault="002B7490" w:rsidP="00894709">
            <w:pPr>
              <w:jc w:val="center"/>
              <w:rPr>
                <w:b/>
                <w:color w:val="000000" w:themeColor="text1"/>
              </w:rPr>
            </w:pPr>
            <w:r w:rsidRPr="00781112">
              <w:rPr>
                <w:b/>
                <w:color w:val="000000" w:themeColor="text1"/>
              </w:rPr>
              <w:t>2020</w:t>
            </w:r>
          </w:p>
        </w:tc>
      </w:tr>
      <w:tr w:rsidR="005C29F8" w:rsidRPr="00781112" w14:paraId="58F3D93E" w14:textId="77777777" w:rsidTr="00DF4C35">
        <w:trPr>
          <w:trHeight w:val="357"/>
        </w:trPr>
        <w:tc>
          <w:tcPr>
            <w:tcW w:w="833" w:type="pct"/>
            <w:shd w:val="clear" w:color="auto" w:fill="auto"/>
            <w:vAlign w:val="center"/>
          </w:tcPr>
          <w:p w14:paraId="19C9E1E1" w14:textId="72240B64" w:rsidR="00907A35" w:rsidRPr="00781112" w:rsidRDefault="00907A35" w:rsidP="001F692C">
            <w:pP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shd w:val="clear" w:color="auto" w:fill="auto"/>
            <w:vAlign w:val="center"/>
          </w:tcPr>
          <w:p w14:paraId="70EB2EF4" w14:textId="3E0F0873" w:rsidR="00907A35" w:rsidRPr="00781112" w:rsidRDefault="002B7490" w:rsidP="00E0321D">
            <w:pPr>
              <w:jc w:val="center"/>
              <w:rPr>
                <w:rFonts w:cs="Arial"/>
                <w:color w:val="000000" w:themeColor="text1"/>
                <w:szCs w:val="16"/>
              </w:rPr>
            </w:pPr>
            <w:r w:rsidRPr="00781112">
              <w:rPr>
                <w:rFonts w:cs="Arial"/>
                <w:color w:val="000000" w:themeColor="text1"/>
                <w:szCs w:val="16"/>
              </w:rPr>
              <w:t>17.00%</w:t>
            </w:r>
          </w:p>
        </w:tc>
        <w:tc>
          <w:tcPr>
            <w:tcW w:w="833" w:type="pct"/>
            <w:shd w:val="clear" w:color="auto" w:fill="auto"/>
            <w:vAlign w:val="center"/>
          </w:tcPr>
          <w:p w14:paraId="09754C04" w14:textId="6AA1C908" w:rsidR="00907A35" w:rsidRPr="00781112" w:rsidRDefault="002B7490" w:rsidP="00E0321D">
            <w:pPr>
              <w:jc w:val="center"/>
              <w:rPr>
                <w:rFonts w:cs="Arial"/>
                <w:color w:val="000000" w:themeColor="text1"/>
                <w:szCs w:val="16"/>
              </w:rPr>
            </w:pPr>
            <w:r w:rsidRPr="00781112">
              <w:rPr>
                <w:rFonts w:cs="Arial"/>
                <w:color w:val="000000" w:themeColor="text1"/>
                <w:szCs w:val="16"/>
              </w:rPr>
              <w:t>16.00%</w:t>
            </w:r>
          </w:p>
        </w:tc>
        <w:tc>
          <w:tcPr>
            <w:tcW w:w="833" w:type="pct"/>
            <w:shd w:val="clear" w:color="auto" w:fill="auto"/>
            <w:vAlign w:val="center"/>
          </w:tcPr>
          <w:p w14:paraId="73F1F537" w14:textId="213B7CF6" w:rsidR="00907A35" w:rsidRPr="00781112" w:rsidRDefault="002B7490" w:rsidP="00E0321D">
            <w:pPr>
              <w:jc w:val="center"/>
              <w:rPr>
                <w:rFonts w:cs="Arial"/>
                <w:color w:val="000000" w:themeColor="text1"/>
                <w:szCs w:val="16"/>
              </w:rPr>
            </w:pPr>
            <w:r w:rsidRPr="00781112">
              <w:rPr>
                <w:rFonts w:cs="Arial"/>
                <w:color w:val="000000" w:themeColor="text1"/>
                <w:szCs w:val="16"/>
              </w:rPr>
              <w:t>15.00%</w:t>
            </w:r>
          </w:p>
        </w:tc>
        <w:tc>
          <w:tcPr>
            <w:tcW w:w="833" w:type="pct"/>
            <w:shd w:val="clear" w:color="auto" w:fill="auto"/>
            <w:vAlign w:val="center"/>
          </w:tcPr>
          <w:p w14:paraId="24592EED" w14:textId="5BE30DC5" w:rsidR="00907A35" w:rsidRPr="00781112" w:rsidRDefault="002B7490" w:rsidP="00E0321D">
            <w:pPr>
              <w:jc w:val="center"/>
              <w:rPr>
                <w:rFonts w:cs="Arial"/>
                <w:color w:val="000000" w:themeColor="text1"/>
                <w:szCs w:val="16"/>
              </w:rPr>
            </w:pPr>
            <w:r w:rsidRPr="00781112">
              <w:rPr>
                <w:rFonts w:cs="Arial"/>
                <w:color w:val="000000" w:themeColor="text1"/>
                <w:szCs w:val="16"/>
              </w:rPr>
              <w:t>15.00%</w:t>
            </w:r>
          </w:p>
        </w:tc>
        <w:tc>
          <w:tcPr>
            <w:tcW w:w="834" w:type="pct"/>
            <w:shd w:val="clear" w:color="auto" w:fill="auto"/>
            <w:vAlign w:val="center"/>
          </w:tcPr>
          <w:p w14:paraId="0C69FBF7" w14:textId="5FED7341" w:rsidR="00907A35" w:rsidRPr="00781112" w:rsidRDefault="002B7490" w:rsidP="00E0321D">
            <w:pPr>
              <w:jc w:val="center"/>
              <w:rPr>
                <w:rFonts w:cs="Arial"/>
                <w:color w:val="000000" w:themeColor="text1"/>
                <w:szCs w:val="16"/>
              </w:rPr>
            </w:pPr>
            <w:r w:rsidRPr="00781112">
              <w:rPr>
                <w:rFonts w:cs="Arial"/>
                <w:color w:val="000000" w:themeColor="text1"/>
                <w:szCs w:val="16"/>
              </w:rPr>
              <w:t>15.90%</w:t>
            </w:r>
          </w:p>
        </w:tc>
      </w:tr>
      <w:tr w:rsidR="005C29F8" w:rsidRPr="00781112" w14:paraId="06558B7E" w14:textId="77777777" w:rsidTr="00DF4C35">
        <w:trPr>
          <w:trHeight w:val="85"/>
        </w:trPr>
        <w:tc>
          <w:tcPr>
            <w:tcW w:w="833" w:type="pct"/>
            <w:shd w:val="clear" w:color="auto" w:fill="auto"/>
            <w:vAlign w:val="center"/>
          </w:tcPr>
          <w:p w14:paraId="1DE2074D" w14:textId="77777777" w:rsidR="00907A35" w:rsidRPr="00781112" w:rsidRDefault="00907A35" w:rsidP="001F692C">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33EDE68" w14:textId="28E51F4E" w:rsidR="00907A35" w:rsidRPr="00781112" w:rsidRDefault="002B7490" w:rsidP="00E0321D">
            <w:pPr>
              <w:jc w:val="center"/>
              <w:rPr>
                <w:rFonts w:cs="Arial"/>
                <w:color w:val="000000" w:themeColor="text1"/>
                <w:szCs w:val="16"/>
              </w:rPr>
            </w:pPr>
            <w:r w:rsidRPr="00781112">
              <w:rPr>
                <w:rFonts w:cs="Arial"/>
                <w:color w:val="000000" w:themeColor="text1"/>
                <w:szCs w:val="16"/>
              </w:rPr>
              <w:t>16.60%</w:t>
            </w:r>
          </w:p>
        </w:tc>
        <w:tc>
          <w:tcPr>
            <w:tcW w:w="833" w:type="pct"/>
            <w:shd w:val="clear" w:color="auto" w:fill="auto"/>
            <w:vAlign w:val="center"/>
          </w:tcPr>
          <w:p w14:paraId="1DE6EF8F" w14:textId="2C6399B2" w:rsidR="00907A35" w:rsidRPr="00781112" w:rsidRDefault="002B7490" w:rsidP="00E0321D">
            <w:pPr>
              <w:jc w:val="center"/>
              <w:rPr>
                <w:rFonts w:cs="Arial"/>
                <w:color w:val="000000" w:themeColor="text1"/>
                <w:szCs w:val="16"/>
              </w:rPr>
            </w:pPr>
            <w:r w:rsidRPr="00781112">
              <w:rPr>
                <w:rFonts w:cs="Arial"/>
                <w:color w:val="000000" w:themeColor="text1"/>
                <w:szCs w:val="16"/>
              </w:rPr>
              <w:t>14.25%</w:t>
            </w:r>
          </w:p>
        </w:tc>
        <w:tc>
          <w:tcPr>
            <w:tcW w:w="833" w:type="pct"/>
            <w:tcBorders>
              <w:bottom w:val="single" w:sz="4" w:space="0" w:color="auto"/>
            </w:tcBorders>
            <w:shd w:val="clear" w:color="auto" w:fill="auto"/>
            <w:vAlign w:val="center"/>
          </w:tcPr>
          <w:p w14:paraId="3F810822" w14:textId="70D15FEC" w:rsidR="00907A35" w:rsidRPr="00781112" w:rsidRDefault="002B7490" w:rsidP="00E0321D">
            <w:pPr>
              <w:jc w:val="center"/>
              <w:rPr>
                <w:rFonts w:cs="Arial"/>
                <w:color w:val="000000" w:themeColor="text1"/>
                <w:szCs w:val="16"/>
              </w:rPr>
            </w:pPr>
            <w:r w:rsidRPr="00781112">
              <w:rPr>
                <w:rFonts w:cs="Arial"/>
                <w:color w:val="000000" w:themeColor="text1"/>
                <w:szCs w:val="16"/>
              </w:rPr>
              <w:t>14.45%</w:t>
            </w:r>
          </w:p>
        </w:tc>
        <w:tc>
          <w:tcPr>
            <w:tcW w:w="833" w:type="pct"/>
            <w:tcBorders>
              <w:bottom w:val="single" w:sz="4" w:space="0" w:color="auto"/>
            </w:tcBorders>
            <w:shd w:val="clear" w:color="auto" w:fill="auto"/>
            <w:vAlign w:val="center"/>
          </w:tcPr>
          <w:p w14:paraId="5421E042" w14:textId="6AE010E9" w:rsidR="00907A35" w:rsidRPr="00781112" w:rsidRDefault="002B7490" w:rsidP="00E0321D">
            <w:pPr>
              <w:jc w:val="center"/>
              <w:rPr>
                <w:rFonts w:cs="Arial"/>
                <w:color w:val="000000" w:themeColor="text1"/>
                <w:szCs w:val="16"/>
              </w:rPr>
            </w:pPr>
            <w:r w:rsidRPr="00781112">
              <w:rPr>
                <w:rFonts w:cs="Arial"/>
                <w:color w:val="000000" w:themeColor="text1"/>
                <w:szCs w:val="16"/>
              </w:rPr>
              <w:t>13.92%</w:t>
            </w:r>
          </w:p>
        </w:tc>
        <w:tc>
          <w:tcPr>
            <w:tcW w:w="834" w:type="pct"/>
            <w:tcBorders>
              <w:bottom w:val="single" w:sz="4" w:space="0" w:color="auto"/>
            </w:tcBorders>
            <w:shd w:val="clear" w:color="auto" w:fill="auto"/>
            <w:vAlign w:val="center"/>
          </w:tcPr>
          <w:p w14:paraId="32A53100" w14:textId="125B9065" w:rsidR="00907A35" w:rsidRPr="00781112" w:rsidRDefault="002B7490" w:rsidP="00E0321D">
            <w:pPr>
              <w:jc w:val="center"/>
              <w:rPr>
                <w:rFonts w:cs="Arial"/>
                <w:color w:val="000000" w:themeColor="text1"/>
                <w:szCs w:val="16"/>
              </w:rPr>
            </w:pPr>
            <w:r w:rsidRPr="00781112">
              <w:rPr>
                <w:rFonts w:cs="Arial"/>
                <w:color w:val="000000" w:themeColor="text1"/>
                <w:szCs w:val="16"/>
              </w:rPr>
              <w:t>15.26%</w:t>
            </w:r>
          </w:p>
        </w:tc>
      </w:tr>
    </w:tbl>
    <w:p w14:paraId="2E8ED284" w14:textId="77777777" w:rsidR="00654A4B" w:rsidRPr="00781112" w:rsidRDefault="00654A4B" w:rsidP="004369B2">
      <w:pPr>
        <w:rPr>
          <w:color w:val="000000" w:themeColor="text1"/>
        </w:rPr>
      </w:pPr>
    </w:p>
    <w:p w14:paraId="1AD526FC" w14:textId="0D130AB7" w:rsidR="00907A35" w:rsidRPr="00781112" w:rsidRDefault="00907A35" w:rsidP="004369B2">
      <w:pPr>
        <w:rPr>
          <w:color w:val="000000" w:themeColor="text1"/>
        </w:rPr>
      </w:pPr>
      <w:r w:rsidRPr="00781112">
        <w:rPr>
          <w:b/>
          <w:color w:val="000000" w:themeColor="text1"/>
        </w:rPr>
        <w:t>Targets</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4"/>
        <w:gridCol w:w="1676"/>
        <w:gridCol w:w="1676"/>
        <w:gridCol w:w="1676"/>
        <w:gridCol w:w="1676"/>
        <w:gridCol w:w="1673"/>
      </w:tblGrid>
      <w:tr w:rsidR="00B14519" w:rsidRPr="00781112" w14:paraId="029A4CCE" w14:textId="7CD6FC1B" w:rsidTr="00451D7E">
        <w:trPr>
          <w:trHeight w:val="378"/>
        </w:trPr>
        <w:tc>
          <w:tcPr>
            <w:tcW w:w="402" w:type="pct"/>
            <w:tcBorders>
              <w:bottom w:val="single" w:sz="4" w:space="0" w:color="auto"/>
            </w:tcBorders>
            <w:shd w:val="clear" w:color="auto" w:fill="auto"/>
          </w:tcPr>
          <w:p w14:paraId="7E454C96" w14:textId="77777777" w:rsidR="00B14519" w:rsidRPr="00781112" w:rsidRDefault="00B14519" w:rsidP="00373F78">
            <w:pPr>
              <w:jc w:val="center"/>
              <w:rPr>
                <w:b/>
                <w:color w:val="000000" w:themeColor="text1"/>
              </w:rPr>
            </w:pPr>
            <w:r w:rsidRPr="00781112">
              <w:rPr>
                <w:b/>
                <w:color w:val="000000" w:themeColor="text1"/>
              </w:rPr>
              <w:t>FFY</w:t>
            </w:r>
          </w:p>
        </w:tc>
        <w:tc>
          <w:tcPr>
            <w:tcW w:w="920" w:type="pct"/>
            <w:shd w:val="clear" w:color="auto" w:fill="auto"/>
            <w:vAlign w:val="center"/>
          </w:tcPr>
          <w:p w14:paraId="43981BCA" w14:textId="46BADE94" w:rsidR="00B14519" w:rsidRPr="00781112" w:rsidRDefault="00B14519" w:rsidP="00373F78">
            <w:pPr>
              <w:jc w:val="center"/>
              <w:rPr>
                <w:b/>
                <w:color w:val="000000" w:themeColor="text1"/>
              </w:rPr>
            </w:pPr>
            <w:r w:rsidRPr="00781112">
              <w:rPr>
                <w:b/>
                <w:color w:val="000000" w:themeColor="text1"/>
              </w:rPr>
              <w:t>2021</w:t>
            </w:r>
          </w:p>
        </w:tc>
        <w:tc>
          <w:tcPr>
            <w:tcW w:w="920" w:type="pct"/>
          </w:tcPr>
          <w:p w14:paraId="5E92A3B3" w14:textId="014BC7EC" w:rsidR="00B14519" w:rsidRPr="00781112" w:rsidRDefault="00B14519" w:rsidP="00373F78">
            <w:pPr>
              <w:jc w:val="center"/>
              <w:rPr>
                <w:b/>
                <w:color w:val="000000" w:themeColor="text1"/>
              </w:rPr>
            </w:pPr>
            <w:r w:rsidRPr="00781112">
              <w:rPr>
                <w:rFonts w:cs="Arial"/>
                <w:b/>
                <w:color w:val="000000" w:themeColor="text1"/>
                <w:szCs w:val="16"/>
              </w:rPr>
              <w:t>2022</w:t>
            </w:r>
          </w:p>
        </w:tc>
        <w:tc>
          <w:tcPr>
            <w:tcW w:w="920" w:type="pct"/>
          </w:tcPr>
          <w:p w14:paraId="3A9EE8AA" w14:textId="53416CB2" w:rsidR="00B14519" w:rsidRPr="00781112" w:rsidRDefault="00B14519" w:rsidP="00373F78">
            <w:pPr>
              <w:jc w:val="center"/>
              <w:rPr>
                <w:b/>
                <w:color w:val="000000" w:themeColor="text1"/>
              </w:rPr>
            </w:pPr>
            <w:r w:rsidRPr="00781112">
              <w:rPr>
                <w:rFonts w:cs="Arial"/>
                <w:b/>
                <w:color w:val="000000" w:themeColor="text1"/>
                <w:szCs w:val="16"/>
              </w:rPr>
              <w:t>2023</w:t>
            </w:r>
          </w:p>
        </w:tc>
        <w:tc>
          <w:tcPr>
            <w:tcW w:w="920" w:type="pct"/>
          </w:tcPr>
          <w:p w14:paraId="7D50850A" w14:textId="0FF3B8D7" w:rsidR="00B14519" w:rsidRPr="00781112" w:rsidRDefault="00B14519" w:rsidP="00373F78">
            <w:pPr>
              <w:jc w:val="center"/>
              <w:rPr>
                <w:b/>
                <w:color w:val="000000" w:themeColor="text1"/>
              </w:rPr>
            </w:pPr>
            <w:r w:rsidRPr="00781112">
              <w:rPr>
                <w:rFonts w:cs="Arial"/>
                <w:b/>
                <w:color w:val="000000" w:themeColor="text1"/>
                <w:szCs w:val="16"/>
              </w:rPr>
              <w:t>2024</w:t>
            </w:r>
          </w:p>
        </w:tc>
        <w:tc>
          <w:tcPr>
            <w:tcW w:w="920" w:type="pct"/>
          </w:tcPr>
          <w:p w14:paraId="150CD52F" w14:textId="1406DCAF" w:rsidR="00B14519" w:rsidRPr="00781112" w:rsidRDefault="00B14519" w:rsidP="00373F78">
            <w:pPr>
              <w:jc w:val="center"/>
              <w:rPr>
                <w:b/>
                <w:color w:val="000000" w:themeColor="text1"/>
              </w:rPr>
            </w:pPr>
            <w:r w:rsidRPr="00781112">
              <w:rPr>
                <w:rFonts w:cs="Arial"/>
                <w:b/>
                <w:color w:val="000000" w:themeColor="text1"/>
                <w:szCs w:val="16"/>
              </w:rPr>
              <w:t>2025</w:t>
            </w:r>
          </w:p>
        </w:tc>
      </w:tr>
      <w:tr w:rsidR="00B14519" w:rsidRPr="00781112" w14:paraId="74AFE5A4" w14:textId="4CB3606D" w:rsidTr="00451D7E">
        <w:trPr>
          <w:trHeight w:val="386"/>
        </w:trPr>
        <w:tc>
          <w:tcPr>
            <w:tcW w:w="402" w:type="pct"/>
            <w:shd w:val="clear" w:color="auto" w:fill="auto"/>
            <w:vAlign w:val="center"/>
          </w:tcPr>
          <w:p w14:paraId="74812D09" w14:textId="3A67082C" w:rsidR="00B14519" w:rsidRPr="00781112" w:rsidRDefault="00B14519" w:rsidP="00373F78">
            <w:pPr>
              <w:rPr>
                <w:rFonts w:cs="Arial"/>
                <w:color w:val="000000" w:themeColor="text1"/>
                <w:szCs w:val="16"/>
              </w:rPr>
            </w:pPr>
            <w:r w:rsidRPr="00781112">
              <w:rPr>
                <w:rFonts w:cs="Arial"/>
                <w:color w:val="000000" w:themeColor="text1"/>
                <w:szCs w:val="16"/>
              </w:rPr>
              <w:t>Target &lt;=</w:t>
            </w:r>
          </w:p>
        </w:tc>
        <w:tc>
          <w:tcPr>
            <w:tcW w:w="920" w:type="pct"/>
            <w:shd w:val="clear" w:color="auto" w:fill="auto"/>
            <w:vAlign w:val="center"/>
          </w:tcPr>
          <w:p w14:paraId="1AA9A6F0" w14:textId="23F8F955" w:rsidR="00B14519" w:rsidRPr="00781112" w:rsidRDefault="00B14519" w:rsidP="00373F78">
            <w:pPr>
              <w:jc w:val="center"/>
              <w:rPr>
                <w:rFonts w:cs="Arial"/>
                <w:color w:val="000000" w:themeColor="text1"/>
                <w:szCs w:val="16"/>
              </w:rPr>
            </w:pPr>
            <w:r w:rsidRPr="00781112">
              <w:rPr>
                <w:rFonts w:cs="Arial"/>
                <w:color w:val="000000" w:themeColor="text1"/>
                <w:szCs w:val="16"/>
              </w:rPr>
              <w:t>14.90%</w:t>
            </w:r>
          </w:p>
        </w:tc>
        <w:tc>
          <w:tcPr>
            <w:tcW w:w="920" w:type="pct"/>
          </w:tcPr>
          <w:p w14:paraId="1887156F" w14:textId="2A53DFD8" w:rsidR="00B14519" w:rsidRPr="00781112" w:rsidRDefault="00B14519" w:rsidP="00373F78">
            <w:pPr>
              <w:jc w:val="center"/>
              <w:rPr>
                <w:rFonts w:cs="Arial"/>
                <w:color w:val="000000" w:themeColor="text1"/>
                <w:szCs w:val="16"/>
              </w:rPr>
            </w:pPr>
            <w:r w:rsidRPr="00781112">
              <w:rPr>
                <w:color w:val="000000" w:themeColor="text1"/>
                <w:szCs w:val="16"/>
              </w:rPr>
              <w:t>13.90%</w:t>
            </w:r>
          </w:p>
        </w:tc>
        <w:tc>
          <w:tcPr>
            <w:tcW w:w="920" w:type="pct"/>
          </w:tcPr>
          <w:p w14:paraId="114E0304" w14:textId="3D4B66CA" w:rsidR="00B14519" w:rsidRPr="00781112" w:rsidRDefault="00B14519" w:rsidP="00373F78">
            <w:pPr>
              <w:jc w:val="center"/>
              <w:rPr>
                <w:rFonts w:cs="Arial"/>
                <w:color w:val="000000" w:themeColor="text1"/>
                <w:szCs w:val="16"/>
              </w:rPr>
            </w:pPr>
            <w:r w:rsidRPr="00781112">
              <w:rPr>
                <w:color w:val="000000" w:themeColor="text1"/>
                <w:szCs w:val="16"/>
              </w:rPr>
              <w:t>12.90%</w:t>
            </w:r>
          </w:p>
        </w:tc>
        <w:tc>
          <w:tcPr>
            <w:tcW w:w="920" w:type="pct"/>
          </w:tcPr>
          <w:p w14:paraId="78D67310" w14:textId="6B7563FE" w:rsidR="00B14519" w:rsidRPr="00781112" w:rsidRDefault="00B14519" w:rsidP="00373F78">
            <w:pPr>
              <w:jc w:val="center"/>
              <w:rPr>
                <w:rFonts w:cs="Arial"/>
                <w:color w:val="000000" w:themeColor="text1"/>
                <w:szCs w:val="16"/>
              </w:rPr>
            </w:pPr>
            <w:r w:rsidRPr="00781112">
              <w:rPr>
                <w:color w:val="000000" w:themeColor="text1"/>
                <w:szCs w:val="16"/>
              </w:rPr>
              <w:t>11.90%</w:t>
            </w:r>
          </w:p>
        </w:tc>
        <w:tc>
          <w:tcPr>
            <w:tcW w:w="920" w:type="pct"/>
          </w:tcPr>
          <w:p w14:paraId="56091902" w14:textId="764DD0A6" w:rsidR="00B14519" w:rsidRPr="00781112" w:rsidRDefault="00B14519" w:rsidP="00373F78">
            <w:pPr>
              <w:jc w:val="center"/>
              <w:rPr>
                <w:rFonts w:cs="Arial"/>
                <w:color w:val="000000" w:themeColor="text1"/>
                <w:szCs w:val="16"/>
              </w:rPr>
            </w:pPr>
            <w:r w:rsidRPr="00781112">
              <w:rPr>
                <w:color w:val="000000" w:themeColor="text1"/>
                <w:szCs w:val="16"/>
              </w:rPr>
              <w:t>10.90%</w:t>
            </w:r>
          </w:p>
        </w:tc>
      </w:tr>
    </w:tbl>
    <w:p w14:paraId="23C212C7" w14:textId="54B31D84" w:rsidR="002D145D" w:rsidRPr="00781112" w:rsidRDefault="002D145D">
      <w:pPr>
        <w:rPr>
          <w:b/>
          <w:color w:val="000000" w:themeColor="text1"/>
        </w:rPr>
      </w:pPr>
      <w:r w:rsidRPr="00781112">
        <w:rPr>
          <w:b/>
          <w:color w:val="000000" w:themeColor="text1"/>
        </w:rPr>
        <w:t>Targets: Description of Stakeholder Input</w:t>
      </w:r>
    </w:p>
    <w:p w14:paraId="1646393A" w14:textId="2F9E8E4A" w:rsidR="002D145D" w:rsidRPr="00781112" w:rsidRDefault="002D145D" w:rsidP="002D145D">
      <w:pPr>
        <w:rPr>
          <w:rFonts w:cs="Arial"/>
          <w:color w:val="000000" w:themeColor="text1"/>
          <w:szCs w:val="16"/>
        </w:rPr>
      </w:pPr>
    </w:p>
    <w:p w14:paraId="68E34693" w14:textId="382EE918" w:rsidR="00002962" w:rsidRPr="00781112" w:rsidRDefault="00002962"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60D7260E" w14:textId="77777777" w:rsidTr="0011161A">
        <w:trPr>
          <w:trHeight w:val="372"/>
          <w:tblHeader/>
        </w:trPr>
        <w:tc>
          <w:tcPr>
            <w:tcW w:w="1003" w:type="pct"/>
            <w:shd w:val="clear" w:color="auto" w:fill="auto"/>
          </w:tcPr>
          <w:p w14:paraId="7217614C"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5FC9008"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shd w:val="clear" w:color="auto" w:fill="auto"/>
          </w:tcPr>
          <w:p w14:paraId="452E3A47"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shd w:val="clear" w:color="auto" w:fill="auto"/>
          </w:tcPr>
          <w:p w14:paraId="197E988D"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0549B53" w14:textId="77777777" w:rsidTr="0011161A">
        <w:trPr>
          <w:trHeight w:val="380"/>
        </w:trPr>
        <w:tc>
          <w:tcPr>
            <w:tcW w:w="1003" w:type="pct"/>
            <w:shd w:val="clear" w:color="auto" w:fill="auto"/>
          </w:tcPr>
          <w:p w14:paraId="38DBE1E5" w14:textId="4B654FBA" w:rsidR="001D55EC" w:rsidRPr="00781112" w:rsidRDefault="008A2533" w:rsidP="00A018D4">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6675DCDD" w14:textId="08B07A76" w:rsidR="001D55EC" w:rsidRPr="00781112" w:rsidRDefault="008A2533" w:rsidP="00A018D4">
            <w:pPr>
              <w:jc w:val="center"/>
              <w:rPr>
                <w:rFonts w:cs="Arial"/>
                <w:color w:val="000000" w:themeColor="text1"/>
                <w:szCs w:val="16"/>
              </w:rPr>
            </w:pPr>
            <w:r w:rsidRPr="00781112">
              <w:rPr>
                <w:rFonts w:cs="Arial"/>
                <w:color w:val="000000" w:themeColor="text1"/>
                <w:szCs w:val="16"/>
              </w:rPr>
              <w:t>05/25/2022</w:t>
            </w:r>
          </w:p>
        </w:tc>
        <w:tc>
          <w:tcPr>
            <w:tcW w:w="2284" w:type="pct"/>
            <w:shd w:val="clear" w:color="auto" w:fill="auto"/>
          </w:tcPr>
          <w:p w14:paraId="52A6FFD9" w14:textId="722CDF17" w:rsidR="001D55EC" w:rsidRPr="00781112" w:rsidRDefault="00E619AC" w:rsidP="001D55EC">
            <w:pPr>
              <w:rPr>
                <w:rFonts w:cs="Arial"/>
                <w:color w:val="000000" w:themeColor="text1"/>
                <w:szCs w:val="16"/>
              </w:rPr>
            </w:pPr>
            <w:r w:rsidRPr="00781112">
              <w:rPr>
                <w:rFonts w:cs="Arial"/>
                <w:color w:val="000000" w:themeColor="text1"/>
                <w:szCs w:val="16"/>
              </w:rPr>
              <w:t>Number of youth with IEPs (ages 14-21) who exited special education by graduating with a regular high school diploma (a)</w:t>
            </w:r>
          </w:p>
        </w:tc>
        <w:tc>
          <w:tcPr>
            <w:tcW w:w="726" w:type="pct"/>
            <w:shd w:val="clear" w:color="auto" w:fill="auto"/>
          </w:tcPr>
          <w:p w14:paraId="6BB20172" w14:textId="20DA3C25" w:rsidR="001D55EC" w:rsidRPr="00781112" w:rsidRDefault="002B7490" w:rsidP="00A018D4">
            <w:pPr>
              <w:jc w:val="center"/>
              <w:rPr>
                <w:rFonts w:cs="Arial"/>
                <w:color w:val="000000" w:themeColor="text1"/>
                <w:szCs w:val="16"/>
              </w:rPr>
            </w:pPr>
            <w:r w:rsidRPr="00781112">
              <w:rPr>
                <w:rFonts w:cs="Arial"/>
                <w:color w:val="000000" w:themeColor="text1"/>
                <w:szCs w:val="16"/>
              </w:rPr>
              <w:t>6,185</w:t>
            </w:r>
          </w:p>
        </w:tc>
      </w:tr>
      <w:tr w:rsidR="00FE0F05" w:rsidRPr="00781112" w14:paraId="442FFC23" w14:textId="77777777" w:rsidTr="0011161A">
        <w:trPr>
          <w:trHeight w:val="380"/>
        </w:trPr>
        <w:tc>
          <w:tcPr>
            <w:tcW w:w="1003" w:type="pct"/>
            <w:shd w:val="clear" w:color="auto" w:fill="auto"/>
          </w:tcPr>
          <w:p w14:paraId="6CF34AAB" w14:textId="0F679619" w:rsidR="00FE0F05" w:rsidRPr="00781112" w:rsidRDefault="00FE0F05" w:rsidP="00FE0F05">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4C847D87" w14:textId="13F5F6DB" w:rsidR="00FE0F05" w:rsidRPr="00781112" w:rsidRDefault="00FE0F05" w:rsidP="00FE0F05">
            <w:pPr>
              <w:jc w:val="center"/>
              <w:rPr>
                <w:rFonts w:cs="Arial"/>
                <w:color w:val="000000" w:themeColor="text1"/>
                <w:szCs w:val="16"/>
              </w:rPr>
            </w:pPr>
            <w:r w:rsidRPr="00781112">
              <w:rPr>
                <w:rFonts w:cs="Arial"/>
                <w:color w:val="000000" w:themeColor="text1"/>
                <w:szCs w:val="16"/>
              </w:rPr>
              <w:t>05/25/2022</w:t>
            </w:r>
          </w:p>
        </w:tc>
        <w:tc>
          <w:tcPr>
            <w:tcW w:w="2284" w:type="pct"/>
            <w:shd w:val="clear" w:color="auto" w:fill="auto"/>
          </w:tcPr>
          <w:p w14:paraId="11D0842E" w14:textId="2246C25A" w:rsidR="00FE0F05" w:rsidRPr="00781112" w:rsidRDefault="00FE0F05" w:rsidP="00FE0F05">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726" w:type="pct"/>
            <w:shd w:val="clear" w:color="auto" w:fill="auto"/>
          </w:tcPr>
          <w:p w14:paraId="076B8DEA" w14:textId="2D1A3AE9" w:rsidR="00FE0F05" w:rsidRPr="00781112" w:rsidRDefault="00FE0F05" w:rsidP="00FE0F05">
            <w:pPr>
              <w:jc w:val="center"/>
              <w:rPr>
                <w:rFonts w:cs="Arial"/>
                <w:color w:val="000000" w:themeColor="text1"/>
                <w:szCs w:val="16"/>
              </w:rPr>
            </w:pPr>
          </w:p>
        </w:tc>
      </w:tr>
      <w:tr w:rsidR="0011161A" w:rsidRPr="00781112" w14:paraId="7531005B" w14:textId="77777777" w:rsidTr="0011161A">
        <w:trPr>
          <w:trHeight w:val="380"/>
        </w:trPr>
        <w:tc>
          <w:tcPr>
            <w:tcW w:w="1003" w:type="pct"/>
            <w:shd w:val="clear" w:color="auto" w:fill="auto"/>
          </w:tcPr>
          <w:p w14:paraId="68D79338" w14:textId="7556C19A" w:rsidR="0011161A" w:rsidRPr="00781112" w:rsidRDefault="0011161A" w:rsidP="0011161A">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3137C3E8" w14:textId="1C4E2EC1" w:rsidR="0011161A" w:rsidRPr="00781112" w:rsidRDefault="0011161A" w:rsidP="0011161A">
            <w:pPr>
              <w:jc w:val="center"/>
              <w:rPr>
                <w:rFonts w:cs="Arial"/>
                <w:color w:val="000000" w:themeColor="text1"/>
                <w:szCs w:val="16"/>
              </w:rPr>
            </w:pPr>
            <w:r w:rsidRPr="00781112">
              <w:rPr>
                <w:rFonts w:cs="Arial"/>
                <w:color w:val="000000" w:themeColor="text1"/>
                <w:szCs w:val="16"/>
              </w:rPr>
              <w:t>05/25/2022</w:t>
            </w:r>
          </w:p>
        </w:tc>
        <w:tc>
          <w:tcPr>
            <w:tcW w:w="2284" w:type="pct"/>
            <w:shd w:val="clear" w:color="auto" w:fill="auto"/>
          </w:tcPr>
          <w:p w14:paraId="436358B9" w14:textId="1F75CF67"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receiving a certificate (c)</w:t>
            </w:r>
          </w:p>
        </w:tc>
        <w:tc>
          <w:tcPr>
            <w:tcW w:w="726" w:type="pct"/>
            <w:shd w:val="clear" w:color="auto" w:fill="auto"/>
          </w:tcPr>
          <w:p w14:paraId="554F88F2" w14:textId="623A3342" w:rsidR="0011161A" w:rsidRPr="00781112" w:rsidRDefault="0011161A" w:rsidP="0011161A">
            <w:pPr>
              <w:jc w:val="center"/>
              <w:rPr>
                <w:rFonts w:cs="Arial"/>
                <w:color w:val="000000" w:themeColor="text1"/>
                <w:szCs w:val="16"/>
              </w:rPr>
            </w:pPr>
          </w:p>
        </w:tc>
      </w:tr>
      <w:tr w:rsidR="0011161A" w:rsidRPr="00781112" w14:paraId="56B284E9" w14:textId="77777777" w:rsidTr="0011161A">
        <w:trPr>
          <w:trHeight w:val="380"/>
        </w:trPr>
        <w:tc>
          <w:tcPr>
            <w:tcW w:w="1003" w:type="pct"/>
            <w:shd w:val="clear" w:color="auto" w:fill="auto"/>
          </w:tcPr>
          <w:p w14:paraId="73E78D27" w14:textId="6A11D514" w:rsidR="0011161A" w:rsidRPr="00781112" w:rsidRDefault="0011161A" w:rsidP="0011161A">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151F192A" w14:textId="492844E5" w:rsidR="0011161A" w:rsidRPr="00781112" w:rsidRDefault="0011161A" w:rsidP="0011161A">
            <w:pPr>
              <w:jc w:val="center"/>
              <w:rPr>
                <w:rFonts w:cs="Arial"/>
                <w:color w:val="000000" w:themeColor="text1"/>
                <w:szCs w:val="16"/>
              </w:rPr>
            </w:pPr>
            <w:r w:rsidRPr="00781112">
              <w:rPr>
                <w:rFonts w:cs="Arial"/>
                <w:color w:val="000000" w:themeColor="text1"/>
                <w:szCs w:val="16"/>
              </w:rPr>
              <w:t>05/25/2022</w:t>
            </w:r>
          </w:p>
        </w:tc>
        <w:tc>
          <w:tcPr>
            <w:tcW w:w="2284" w:type="pct"/>
            <w:shd w:val="clear" w:color="auto" w:fill="auto"/>
          </w:tcPr>
          <w:p w14:paraId="65152DCF" w14:textId="4124B416"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reaching maximum age (d)</w:t>
            </w:r>
          </w:p>
        </w:tc>
        <w:tc>
          <w:tcPr>
            <w:tcW w:w="726" w:type="pct"/>
            <w:shd w:val="clear" w:color="auto" w:fill="auto"/>
          </w:tcPr>
          <w:p w14:paraId="788B37F6" w14:textId="1E312572" w:rsidR="0011161A" w:rsidRPr="00781112" w:rsidRDefault="0011161A" w:rsidP="0011161A">
            <w:pPr>
              <w:jc w:val="center"/>
              <w:rPr>
                <w:rFonts w:cs="Arial"/>
                <w:color w:val="000000" w:themeColor="text1"/>
                <w:szCs w:val="16"/>
              </w:rPr>
            </w:pPr>
            <w:r w:rsidRPr="00781112">
              <w:rPr>
                <w:rFonts w:cs="Arial"/>
                <w:color w:val="000000" w:themeColor="text1"/>
                <w:szCs w:val="16"/>
              </w:rPr>
              <w:t>1</w:t>
            </w:r>
          </w:p>
        </w:tc>
      </w:tr>
      <w:tr w:rsidR="005C29F8" w:rsidRPr="00781112" w14:paraId="245FE023" w14:textId="77777777" w:rsidTr="0011161A">
        <w:trPr>
          <w:trHeight w:val="380"/>
        </w:trPr>
        <w:tc>
          <w:tcPr>
            <w:tcW w:w="1003" w:type="pct"/>
            <w:shd w:val="clear" w:color="auto" w:fill="auto"/>
          </w:tcPr>
          <w:p w14:paraId="67B529F8" w14:textId="28E7DCDC" w:rsidR="00C470E8" w:rsidRPr="00781112" w:rsidRDefault="008A2533" w:rsidP="00A018D4">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2C17EFE7" w14:textId="6210AB54" w:rsidR="00C470E8" w:rsidRPr="00781112" w:rsidRDefault="008A2533" w:rsidP="00A018D4">
            <w:pPr>
              <w:jc w:val="center"/>
              <w:rPr>
                <w:rFonts w:cs="Arial"/>
                <w:color w:val="000000" w:themeColor="text1"/>
                <w:szCs w:val="16"/>
              </w:rPr>
            </w:pPr>
            <w:r w:rsidRPr="00781112">
              <w:rPr>
                <w:rFonts w:cs="Arial"/>
                <w:color w:val="000000" w:themeColor="text1"/>
                <w:szCs w:val="16"/>
              </w:rPr>
              <w:t>05/25/2022</w:t>
            </w:r>
          </w:p>
        </w:tc>
        <w:tc>
          <w:tcPr>
            <w:tcW w:w="2284" w:type="pct"/>
            <w:shd w:val="clear" w:color="auto" w:fill="auto"/>
          </w:tcPr>
          <w:p w14:paraId="2D5B3E78" w14:textId="5F9109CF" w:rsidR="00C470E8" w:rsidRPr="00781112" w:rsidRDefault="00C470E8" w:rsidP="00C470E8">
            <w:pPr>
              <w:rPr>
                <w:rFonts w:cs="Arial"/>
                <w:color w:val="000000" w:themeColor="text1"/>
                <w:szCs w:val="16"/>
              </w:rPr>
            </w:pPr>
            <w:r w:rsidRPr="00781112">
              <w:rPr>
                <w:rFonts w:cs="Arial"/>
                <w:color w:val="000000" w:themeColor="text1"/>
                <w:szCs w:val="16"/>
              </w:rPr>
              <w:t>Number of youth with IEPs (ages 14-21) who exited special education due to dropping out (e)</w:t>
            </w:r>
          </w:p>
        </w:tc>
        <w:tc>
          <w:tcPr>
            <w:tcW w:w="726" w:type="pct"/>
            <w:shd w:val="clear" w:color="auto" w:fill="auto"/>
          </w:tcPr>
          <w:p w14:paraId="20785B5C" w14:textId="176AF317" w:rsidR="00C470E8" w:rsidRPr="00781112" w:rsidRDefault="00FE0F05" w:rsidP="00A018D4">
            <w:pPr>
              <w:jc w:val="center"/>
              <w:rPr>
                <w:rFonts w:cs="Arial"/>
                <w:color w:val="000000" w:themeColor="text1"/>
                <w:szCs w:val="16"/>
              </w:rPr>
            </w:pPr>
            <w:r w:rsidRPr="00781112">
              <w:rPr>
                <w:rFonts w:cs="Arial"/>
                <w:color w:val="000000" w:themeColor="text1"/>
                <w:szCs w:val="16"/>
              </w:rPr>
              <w:t>2,387</w:t>
            </w:r>
          </w:p>
        </w:tc>
      </w:tr>
    </w:tbl>
    <w:p w14:paraId="7CE42756" w14:textId="445D9372" w:rsidR="00654A4B" w:rsidRPr="00781112" w:rsidRDefault="00654A4B" w:rsidP="004369B2">
      <w:pPr>
        <w:rPr>
          <w:color w:val="000000" w:themeColor="text1"/>
        </w:rPr>
      </w:pPr>
    </w:p>
    <w:p w14:paraId="4463AFB2" w14:textId="259E343E" w:rsidR="00C96339" w:rsidRPr="00781112" w:rsidRDefault="0047313F" w:rsidP="004369B2">
      <w:pPr>
        <w:rPr>
          <w:color w:val="000000" w:themeColor="text1"/>
        </w:rPr>
      </w:pPr>
      <w:r>
        <w:rPr>
          <w:b/>
          <w:color w:val="000000" w:themeColor="text1"/>
        </w:rPr>
        <w:t xml:space="preserve">FFY 2021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7"/>
        <w:gridCol w:w="1367"/>
        <w:gridCol w:w="2088"/>
        <w:gridCol w:w="1228"/>
        <w:gridCol w:w="1563"/>
        <w:gridCol w:w="1513"/>
      </w:tblGrid>
      <w:tr w:rsidR="0047313F" w:rsidRPr="00781112" w14:paraId="5C4D1C2F" w14:textId="77777777" w:rsidTr="004D0044">
        <w:trPr>
          <w:trHeight w:val="359"/>
          <w:tblHeader/>
        </w:trPr>
        <w:tc>
          <w:tcPr>
            <w:tcW w:w="708" w:type="pct"/>
            <w:shd w:val="clear" w:color="auto" w:fill="auto"/>
            <w:vAlign w:val="bottom"/>
          </w:tcPr>
          <w:p w14:paraId="3F5808F2" w14:textId="257E84C8" w:rsidR="0047313F" w:rsidRPr="00781112" w:rsidRDefault="0047313F" w:rsidP="0047313F">
            <w:pPr>
              <w:jc w:val="center"/>
              <w:rPr>
                <w:rFonts w:cs="Arial"/>
                <w:b/>
                <w:color w:val="000000" w:themeColor="text1"/>
                <w:szCs w:val="16"/>
              </w:rPr>
            </w:pPr>
            <w:r w:rsidRPr="00781112">
              <w:rPr>
                <w:rFonts w:cs="Arial"/>
                <w:b/>
                <w:color w:val="000000" w:themeColor="text1"/>
                <w:szCs w:val="16"/>
              </w:rPr>
              <w:t>Number of youth with IEPs (ages 14-21) who exited special education due to dropping out</w:t>
            </w:r>
          </w:p>
        </w:tc>
        <w:tc>
          <w:tcPr>
            <w:tcW w:w="698" w:type="pct"/>
            <w:shd w:val="clear" w:color="auto" w:fill="auto"/>
            <w:vAlign w:val="bottom"/>
          </w:tcPr>
          <w:p w14:paraId="2F5BF81E" w14:textId="25314F83" w:rsidR="0047313F" w:rsidRPr="00781112" w:rsidRDefault="0047313F" w:rsidP="0047313F">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shd w:val="clear" w:color="auto" w:fill="auto"/>
            <w:vAlign w:val="bottom"/>
          </w:tcPr>
          <w:p w14:paraId="764A6652" w14:textId="4146FF5F" w:rsidR="0047313F" w:rsidRPr="00073BD7" w:rsidRDefault="0047313F" w:rsidP="0047313F">
            <w:pPr>
              <w:jc w:val="center"/>
              <w:rPr>
                <w:rFonts w:cs="Arial"/>
                <w:b/>
                <w:bCs/>
                <w:color w:val="000000" w:themeColor="text1"/>
                <w:szCs w:val="16"/>
              </w:rPr>
            </w:pPr>
            <w:r w:rsidRPr="00073BD7">
              <w:rPr>
                <w:b/>
                <w:bCs/>
              </w:rPr>
              <w:t>FFY 2020 Data</w:t>
            </w:r>
          </w:p>
        </w:tc>
        <w:tc>
          <w:tcPr>
            <w:tcW w:w="967" w:type="pct"/>
            <w:shd w:val="clear" w:color="auto" w:fill="auto"/>
            <w:vAlign w:val="bottom"/>
          </w:tcPr>
          <w:p w14:paraId="1F444650" w14:textId="5BBFB8FA" w:rsidR="0047313F" w:rsidRPr="00073BD7" w:rsidRDefault="0047313F" w:rsidP="0047313F">
            <w:pPr>
              <w:jc w:val="center"/>
              <w:rPr>
                <w:rFonts w:cs="Arial"/>
                <w:b/>
                <w:bCs/>
                <w:color w:val="000000" w:themeColor="text1"/>
                <w:szCs w:val="16"/>
              </w:rPr>
            </w:pPr>
            <w:r w:rsidRPr="00073BD7">
              <w:rPr>
                <w:b/>
                <w:bCs/>
              </w:rPr>
              <w:t>FFY 2021 Target</w:t>
            </w:r>
          </w:p>
        </w:tc>
        <w:tc>
          <w:tcPr>
            <w:tcW w:w="569" w:type="pct"/>
            <w:shd w:val="clear" w:color="auto" w:fill="auto"/>
            <w:vAlign w:val="bottom"/>
          </w:tcPr>
          <w:p w14:paraId="194A1B8B" w14:textId="65282403" w:rsidR="0047313F" w:rsidRPr="00073BD7" w:rsidRDefault="0047313F" w:rsidP="0047313F">
            <w:pPr>
              <w:jc w:val="center"/>
              <w:rPr>
                <w:rFonts w:cs="Arial"/>
                <w:b/>
                <w:bCs/>
                <w:color w:val="000000" w:themeColor="text1"/>
                <w:szCs w:val="16"/>
              </w:rPr>
            </w:pPr>
            <w:r w:rsidRPr="00073BD7">
              <w:rPr>
                <w:b/>
                <w:bCs/>
              </w:rPr>
              <w:t>FFY 2021 Data</w:t>
            </w:r>
          </w:p>
        </w:tc>
        <w:tc>
          <w:tcPr>
            <w:tcW w:w="724" w:type="pct"/>
            <w:shd w:val="clear" w:color="auto" w:fill="auto"/>
            <w:vAlign w:val="bottom"/>
          </w:tcPr>
          <w:p w14:paraId="4B0F6AF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Status</w:t>
            </w:r>
          </w:p>
        </w:tc>
        <w:tc>
          <w:tcPr>
            <w:tcW w:w="701" w:type="pct"/>
            <w:shd w:val="clear" w:color="auto" w:fill="auto"/>
            <w:vAlign w:val="bottom"/>
          </w:tcPr>
          <w:p w14:paraId="2987DD9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Slippage</w:t>
            </w:r>
          </w:p>
        </w:tc>
      </w:tr>
      <w:tr w:rsidR="005C29F8" w:rsidRPr="00781112" w14:paraId="2928907F" w14:textId="77777777" w:rsidTr="004D0044">
        <w:trPr>
          <w:trHeight w:val="366"/>
        </w:trPr>
        <w:tc>
          <w:tcPr>
            <w:tcW w:w="708" w:type="pct"/>
            <w:shd w:val="clear" w:color="auto" w:fill="auto"/>
            <w:vAlign w:val="center"/>
          </w:tcPr>
          <w:p w14:paraId="153F1C9B" w14:textId="5227014D" w:rsidR="00C96339" w:rsidRPr="00781112" w:rsidRDefault="002B7490" w:rsidP="00A018D4">
            <w:pPr>
              <w:jc w:val="center"/>
              <w:rPr>
                <w:rFonts w:cs="Arial"/>
                <w:color w:val="000000" w:themeColor="text1"/>
                <w:szCs w:val="16"/>
              </w:rPr>
            </w:pPr>
            <w:r w:rsidRPr="00781112">
              <w:rPr>
                <w:rFonts w:cs="Arial"/>
                <w:color w:val="000000" w:themeColor="text1"/>
                <w:szCs w:val="16"/>
              </w:rPr>
              <w:t>2,387</w:t>
            </w:r>
          </w:p>
        </w:tc>
        <w:tc>
          <w:tcPr>
            <w:tcW w:w="698" w:type="pct"/>
            <w:shd w:val="clear" w:color="auto" w:fill="auto"/>
            <w:vAlign w:val="center"/>
          </w:tcPr>
          <w:p w14:paraId="31391E82" w14:textId="0E0F2A0A" w:rsidR="00C96339" w:rsidRPr="00781112" w:rsidRDefault="002B7490" w:rsidP="00A018D4">
            <w:pPr>
              <w:jc w:val="center"/>
              <w:rPr>
                <w:rFonts w:cs="Arial"/>
                <w:color w:val="000000" w:themeColor="text1"/>
                <w:szCs w:val="16"/>
              </w:rPr>
            </w:pPr>
            <w:r w:rsidRPr="00781112">
              <w:rPr>
                <w:rFonts w:cs="Arial"/>
                <w:color w:val="000000" w:themeColor="text1"/>
                <w:szCs w:val="16"/>
              </w:rPr>
              <w:t>8,573</w:t>
            </w:r>
          </w:p>
        </w:tc>
        <w:tc>
          <w:tcPr>
            <w:tcW w:w="633" w:type="pct"/>
            <w:shd w:val="clear" w:color="auto" w:fill="auto"/>
          </w:tcPr>
          <w:p w14:paraId="77541D8A" w14:textId="254EC6F2" w:rsidR="00C96339" w:rsidRPr="00781112" w:rsidRDefault="002B7490" w:rsidP="00A018D4">
            <w:pPr>
              <w:jc w:val="center"/>
              <w:rPr>
                <w:rFonts w:cs="Arial"/>
                <w:color w:val="000000" w:themeColor="text1"/>
                <w:szCs w:val="16"/>
              </w:rPr>
            </w:pPr>
            <w:r w:rsidRPr="00781112">
              <w:rPr>
                <w:rFonts w:cs="Arial"/>
                <w:color w:val="000000" w:themeColor="text1"/>
                <w:szCs w:val="16"/>
              </w:rPr>
              <w:t>15.26%</w:t>
            </w:r>
          </w:p>
        </w:tc>
        <w:tc>
          <w:tcPr>
            <w:tcW w:w="967" w:type="pct"/>
            <w:shd w:val="clear" w:color="auto" w:fill="auto"/>
          </w:tcPr>
          <w:p w14:paraId="70FE3FCD" w14:textId="1A7F9FE0" w:rsidR="00C96339" w:rsidRPr="00781112" w:rsidRDefault="002B7490" w:rsidP="00A018D4">
            <w:pPr>
              <w:jc w:val="center"/>
              <w:rPr>
                <w:rFonts w:cs="Arial"/>
                <w:color w:val="000000" w:themeColor="text1"/>
                <w:szCs w:val="16"/>
              </w:rPr>
            </w:pPr>
            <w:r w:rsidRPr="00781112">
              <w:rPr>
                <w:rFonts w:cs="Arial"/>
                <w:color w:val="000000" w:themeColor="text1"/>
                <w:szCs w:val="16"/>
              </w:rPr>
              <w:t>14.90%</w:t>
            </w:r>
          </w:p>
        </w:tc>
        <w:tc>
          <w:tcPr>
            <w:tcW w:w="569" w:type="pct"/>
            <w:shd w:val="clear" w:color="auto" w:fill="auto"/>
          </w:tcPr>
          <w:p w14:paraId="64E2814C" w14:textId="135DB5EE" w:rsidR="00C96339" w:rsidRPr="00781112" w:rsidRDefault="002B7490" w:rsidP="00A018D4">
            <w:pPr>
              <w:jc w:val="center"/>
              <w:rPr>
                <w:rFonts w:cs="Arial"/>
                <w:color w:val="000000" w:themeColor="text1"/>
                <w:szCs w:val="16"/>
              </w:rPr>
            </w:pPr>
            <w:r w:rsidRPr="00781112">
              <w:rPr>
                <w:rFonts w:cs="Arial"/>
                <w:color w:val="000000" w:themeColor="text1"/>
                <w:szCs w:val="16"/>
              </w:rPr>
              <w:t>27.84%</w:t>
            </w:r>
          </w:p>
        </w:tc>
        <w:tc>
          <w:tcPr>
            <w:tcW w:w="724" w:type="pct"/>
            <w:shd w:val="clear" w:color="auto" w:fill="auto"/>
          </w:tcPr>
          <w:p w14:paraId="60873B1E" w14:textId="3A0A0AC5" w:rsidR="00C96339"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1" w:type="pct"/>
            <w:shd w:val="clear" w:color="auto" w:fill="auto"/>
          </w:tcPr>
          <w:p w14:paraId="3EF3C710" w14:textId="04969BC1" w:rsidR="00C96339"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58B37962" w14:textId="5B766A62" w:rsidR="000336AC" w:rsidRPr="00781112" w:rsidRDefault="00A869E9" w:rsidP="004369B2">
      <w:pPr>
        <w:rPr>
          <w:b/>
          <w:color w:val="000000" w:themeColor="text1"/>
        </w:rPr>
      </w:pPr>
      <w:r w:rsidRPr="00781112">
        <w:rPr>
          <w:b/>
          <w:color w:val="000000" w:themeColor="text1"/>
        </w:rPr>
        <w:t>Provide reasons for slippage, if applicable</w:t>
      </w:r>
    </w:p>
    <w:p w14:paraId="28607D64" w14:textId="1BA39541"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The dramatic increase in the percentage of 14-21 year olds who exited as drop-outs in SY 2020-2021 is due to the effects of the pandemic. Schools and students struggled with remote learning, quarantines, mental health, and other known challenges. Many more students dropped out across the state than in prior years in the general student population as well.</w:t>
      </w:r>
    </w:p>
    <w:p w14:paraId="27A2EAFB" w14:textId="5DAAB5B0"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32A15CDA" w14:textId="3CA05678"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A student who leaves an accredited public local education agency prior to graduation, without re-enrolling in another public LEA, is considered a drop-out for that academic year. Students who move to private institutions and homeschool are generally considered "return to regular education," and may or may not continue to be eligible for special education (depending on the nature of the exit). Students whose next educational agency is not known are also considered drop-outs, the equivalent of “Moved, not known to be continuing in a diploma-issuing agency.”</w:t>
      </w:r>
    </w:p>
    <w:p w14:paraId="6E220BF0" w14:textId="157218DF" w:rsidR="00DD051F" w:rsidRPr="00781112" w:rsidRDefault="00DD051F" w:rsidP="000E33D0">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14:paraId="5530CE18" w14:textId="2E8B8BC5" w:rsidR="00DD051F" w:rsidRPr="00781112" w:rsidRDefault="00DD051F" w:rsidP="000E33D0">
      <w:pPr>
        <w:rPr>
          <w:rFonts w:cs="Arial"/>
          <w:color w:val="000000" w:themeColor="text1"/>
          <w:szCs w:val="16"/>
        </w:rPr>
      </w:pPr>
      <w:r w:rsidRPr="00781112">
        <w:rPr>
          <w:rFonts w:cs="Arial"/>
          <w:color w:val="000000" w:themeColor="text1"/>
          <w:szCs w:val="16"/>
        </w:rPr>
        <w:t>NO</w:t>
      </w:r>
    </w:p>
    <w:p w14:paraId="4903B3F9" w14:textId="50D12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79A7C25A" w14:textId="1EDF1407" w:rsidR="00A869E9" w:rsidRPr="00781112" w:rsidRDefault="00A869E9" w:rsidP="000E33D0">
      <w:pPr>
        <w:rPr>
          <w:rFonts w:cs="Arial"/>
          <w:color w:val="000000" w:themeColor="text1"/>
          <w:szCs w:val="16"/>
          <w:shd w:val="clear" w:color="auto" w:fill="FFFFFF"/>
        </w:rPr>
      </w:pPr>
    </w:p>
    <w:p w14:paraId="44F7B282" w14:textId="77777777" w:rsidR="00F56834" w:rsidRPr="00781112" w:rsidRDefault="00F56834" w:rsidP="004369B2">
      <w:pPr>
        <w:rPr>
          <w:b/>
          <w:color w:val="000000" w:themeColor="text1"/>
        </w:rPr>
      </w:pPr>
      <w:bookmarkStart w:id="10" w:name="_Toc382082362"/>
      <w:bookmarkStart w:id="11" w:name="_Toc392159270"/>
      <w:bookmarkStart w:id="12" w:name="_Toc365403651"/>
      <w:r w:rsidRPr="00781112">
        <w:rPr>
          <w:b/>
          <w:color w:val="000000" w:themeColor="text1"/>
        </w:rPr>
        <w:t>Provide additional information about this indicator (optional)</w:t>
      </w:r>
    </w:p>
    <w:p w14:paraId="4492AB5A" w14:textId="63C5DA7E" w:rsidR="00A869E9" w:rsidRPr="00781112" w:rsidRDefault="002B7490" w:rsidP="000E33D0">
      <w:pPr>
        <w:rPr>
          <w:rFonts w:cs="Arial"/>
          <w:color w:val="000000" w:themeColor="text1"/>
          <w:szCs w:val="16"/>
        </w:rPr>
      </w:pPr>
      <w:r w:rsidRPr="00781112">
        <w:rPr>
          <w:rFonts w:cs="Arial"/>
          <w:color w:val="000000" w:themeColor="text1"/>
          <w:szCs w:val="16"/>
          <w:shd w:val="clear" w:color="auto" w:fill="FFFFFF"/>
        </w:rPr>
        <w:t>Exiting data for SY 21-22 are already known, and the drop-out rate has decreased substantially but is not yet at target. It is possible that Oklahoma will reconsider baseline and targets next year, depending on the exiting results for SY 22-23. We expect rates to continue to improve, but also know that the pandemic has created many long-term challenges for students and schools.</w:t>
      </w:r>
    </w:p>
    <w:p w14:paraId="6E187388" w14:textId="724EF642" w:rsidR="000A2C83" w:rsidRPr="00781112" w:rsidRDefault="00F914B4" w:rsidP="008645AD">
      <w:pPr>
        <w:pStyle w:val="Heading2"/>
      </w:pPr>
      <w:r w:rsidRPr="00781112">
        <w:t>2</w:t>
      </w:r>
      <w:r w:rsidR="00684B51" w:rsidRPr="00781112">
        <w:t xml:space="preserve"> </w:t>
      </w:r>
      <w:r w:rsidRPr="00781112">
        <w:t xml:space="preserve">- </w:t>
      </w:r>
      <w:r w:rsidR="000A2C83" w:rsidRPr="00781112">
        <w:t>Prior FFY Required Actions</w:t>
      </w:r>
    </w:p>
    <w:p w14:paraId="3B152B02" w14:textId="0A6719CC" w:rsidR="000A2C83" w:rsidRPr="00781112" w:rsidRDefault="002B7490" w:rsidP="000A2C83">
      <w:pPr>
        <w:rPr>
          <w:rFonts w:cs="Arial"/>
          <w:color w:val="000000" w:themeColor="text1"/>
          <w:szCs w:val="16"/>
        </w:rPr>
      </w:pPr>
      <w:r w:rsidRPr="00781112">
        <w:rPr>
          <w:rFonts w:cs="Arial"/>
          <w:color w:val="000000" w:themeColor="text1"/>
          <w:szCs w:val="16"/>
        </w:rPr>
        <w:t>None</w:t>
      </w:r>
    </w:p>
    <w:p w14:paraId="7896DD52" w14:textId="585814D8" w:rsidR="00DD051F" w:rsidRPr="00781112" w:rsidRDefault="00DD051F" w:rsidP="000A2C83">
      <w:pPr>
        <w:rPr>
          <w:rFonts w:cs="Arial"/>
          <w:color w:val="000000" w:themeColor="text1"/>
          <w:szCs w:val="16"/>
        </w:rPr>
      </w:pPr>
    </w:p>
    <w:p w14:paraId="306FF021" w14:textId="5A4A312B" w:rsidR="00F56834" w:rsidRPr="00781112" w:rsidRDefault="000D2287" w:rsidP="008645AD">
      <w:pPr>
        <w:pStyle w:val="Heading2"/>
      </w:pPr>
      <w:r w:rsidRPr="00781112">
        <w:t>2</w:t>
      </w:r>
      <w:r w:rsidR="00684B51" w:rsidRPr="00781112">
        <w:t xml:space="preserve"> </w:t>
      </w:r>
      <w:r w:rsidRPr="00781112">
        <w:t xml:space="preserve">- </w:t>
      </w:r>
      <w:r w:rsidR="00F56834" w:rsidRPr="00781112">
        <w:t>OSEP Response</w:t>
      </w:r>
    </w:p>
    <w:p w14:paraId="079F48D0" w14:textId="5CDDFF24" w:rsidR="00A869E9" w:rsidRPr="00781112" w:rsidRDefault="00A869E9" w:rsidP="001F692C">
      <w:pPr>
        <w:rPr>
          <w:rFonts w:cs="Arial"/>
          <w:color w:val="000000" w:themeColor="text1"/>
          <w:szCs w:val="16"/>
        </w:rPr>
      </w:pPr>
    </w:p>
    <w:p w14:paraId="6A1E3D87" w14:textId="6B4D2DBD" w:rsidR="00F56834" w:rsidRPr="00781112" w:rsidRDefault="000105C5" w:rsidP="008645AD">
      <w:pPr>
        <w:pStyle w:val="Heading2"/>
      </w:pPr>
      <w:r w:rsidRPr="00781112">
        <w:t>2 - Required Actions</w:t>
      </w:r>
    </w:p>
    <w:p w14:paraId="6C7960E7" w14:textId="06463459" w:rsidR="00A869E9" w:rsidRPr="00781112" w:rsidRDefault="00A869E9" w:rsidP="001F692C">
      <w:pPr>
        <w:rPr>
          <w:rFonts w:cs="Arial"/>
          <w:color w:val="000000" w:themeColor="text1"/>
          <w:szCs w:val="16"/>
        </w:rPr>
      </w:pPr>
    </w:p>
    <w:p w14:paraId="735D3BB6" w14:textId="20B8192A" w:rsidR="00553A47" w:rsidRPr="00781112" w:rsidRDefault="00D37BF0" w:rsidP="00553A47">
      <w:pPr>
        <w:pStyle w:val="Heading1"/>
        <w:rPr>
          <w:color w:val="000000" w:themeColor="text1"/>
          <w:sz w:val="22"/>
        </w:rPr>
      </w:pPr>
      <w:r w:rsidRPr="00781112">
        <w:rPr>
          <w:color w:val="000000" w:themeColor="text1"/>
          <w:szCs w:val="16"/>
        </w:rPr>
        <w:br w:type="page"/>
      </w:r>
      <w:r w:rsidR="00553A47" w:rsidRPr="00781112">
        <w:rPr>
          <w:color w:val="000000" w:themeColor="text1"/>
          <w:sz w:val="22"/>
        </w:rPr>
        <w:lastRenderedPageBreak/>
        <w:t>Indicator 3A: Participation for Children with IEPs</w:t>
      </w:r>
    </w:p>
    <w:p w14:paraId="5AC89D57" w14:textId="77777777" w:rsidR="00553A47" w:rsidRPr="00781112" w:rsidRDefault="00553A47" w:rsidP="00553A47">
      <w:pPr>
        <w:rPr>
          <w:color w:val="000000" w:themeColor="text1"/>
          <w:szCs w:val="20"/>
        </w:rPr>
      </w:pPr>
      <w:r w:rsidRPr="00781112">
        <w:rPr>
          <w:b/>
          <w:color w:val="000000" w:themeColor="text1"/>
          <w:sz w:val="20"/>
          <w:szCs w:val="20"/>
        </w:rPr>
        <w:t>Instructions and Measurement</w:t>
      </w:r>
    </w:p>
    <w:p w14:paraId="5D4905EB"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5574F71D"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0338FF36" w14:textId="39B31752"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3CA36EC5" w14:textId="078762D9"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64DD3F3A" w14:textId="04853D0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682F204" w14:textId="1717FB60"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16CF85BD"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324A6C31" w14:textId="77777777" w:rsidR="00553A47" w:rsidRPr="00781112" w:rsidRDefault="00553A47" w:rsidP="00553A47">
      <w:pPr>
        <w:rPr>
          <w:color w:val="000000" w:themeColor="text1"/>
        </w:rPr>
      </w:pPr>
      <w:r w:rsidRPr="00781112">
        <w:rPr>
          <w:b/>
          <w:color w:val="000000" w:themeColor="text1"/>
        </w:rPr>
        <w:t>Data Source</w:t>
      </w:r>
    </w:p>
    <w:p w14:paraId="6C25670B" w14:textId="158BF188" w:rsidR="00553A47" w:rsidRPr="00781112" w:rsidRDefault="00553A47" w:rsidP="00553A47">
      <w:pPr>
        <w:rPr>
          <w:rFonts w:cs="Arial"/>
          <w:color w:val="000000" w:themeColor="text1"/>
          <w:szCs w:val="16"/>
        </w:rPr>
      </w:pPr>
      <w:r w:rsidRPr="00781112">
        <w:rPr>
          <w:rFonts w:cs="Arial"/>
          <w:color w:val="000000" w:themeColor="text1"/>
          <w:szCs w:val="16"/>
        </w:rPr>
        <w:t>3A. Same data as used for reporting to the Department under Title I of the ESEA, using EDFacts file specifications FS185 and 188.</w:t>
      </w:r>
    </w:p>
    <w:p w14:paraId="71EF09A1" w14:textId="77777777" w:rsidR="00553A47" w:rsidRPr="00781112" w:rsidRDefault="00553A47" w:rsidP="00553A47">
      <w:pPr>
        <w:rPr>
          <w:color w:val="000000" w:themeColor="text1"/>
        </w:rPr>
      </w:pPr>
      <w:r w:rsidRPr="00781112">
        <w:rPr>
          <w:b/>
          <w:color w:val="000000" w:themeColor="text1"/>
        </w:rPr>
        <w:t>Measurement</w:t>
      </w:r>
    </w:p>
    <w:p w14:paraId="7A515068" w14:textId="2DA214AF" w:rsidR="00553A47" w:rsidRPr="00781112" w:rsidRDefault="00943CE1" w:rsidP="00553A47">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1C86ADC7" w14:textId="77777777" w:rsidR="00553A47" w:rsidRPr="00781112" w:rsidRDefault="00553A47" w:rsidP="00553A47">
      <w:pPr>
        <w:rPr>
          <w:color w:val="000000" w:themeColor="text1"/>
        </w:rPr>
      </w:pPr>
      <w:r w:rsidRPr="00781112">
        <w:rPr>
          <w:b/>
          <w:color w:val="000000" w:themeColor="text1"/>
        </w:rPr>
        <w:t>Instructions</w:t>
      </w:r>
    </w:p>
    <w:p w14:paraId="2E7C9B5C" w14:textId="77777777"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7D60E85E"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781112">
        <w:rPr>
          <w:b w:val="0"/>
          <w:bCs/>
          <w:i/>
        </w:rPr>
        <w:t>i.e.</w:t>
      </w:r>
      <w:r w:rsidRPr="00781112">
        <w:rPr>
          <w:b w:val="0"/>
          <w:bCs/>
        </w:rPr>
        <w:t>, a link to the Web site where these data are reported.</w:t>
      </w:r>
    </w:p>
    <w:p w14:paraId="7A7658A6" w14:textId="09BF5716"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2933C3C1" w14:textId="76D8DB4D" w:rsidR="00553A47" w:rsidRPr="00781112" w:rsidRDefault="00553A47" w:rsidP="00553A47">
      <w:pPr>
        <w:pStyle w:val="Heading2"/>
      </w:pPr>
      <w:r w:rsidRPr="00781112">
        <w:t>3A - Indicator Data</w:t>
      </w:r>
    </w:p>
    <w:p w14:paraId="1E2CE8D4" w14:textId="48F23E39"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640BEE62" w14:textId="0ABABB4E" w:rsidTr="009725F4">
        <w:trPr>
          <w:trHeight w:val="368"/>
          <w:tblHeader/>
        </w:trPr>
        <w:tc>
          <w:tcPr>
            <w:tcW w:w="736" w:type="pct"/>
            <w:tcBorders>
              <w:top w:val="single" w:sz="4" w:space="0" w:color="auto"/>
            </w:tcBorders>
            <w:vAlign w:val="center"/>
          </w:tcPr>
          <w:p w14:paraId="41D9612B" w14:textId="31CE748B"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7F27E97C" w14:textId="557342E0"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39353288"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48E0683E" w14:textId="7AFDFE4C"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8B04ED7" w14:textId="46EC1601"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24FC0173" w14:textId="04F4BEEC" w:rsidTr="00360DD6">
        <w:trPr>
          <w:trHeight w:val="368"/>
        </w:trPr>
        <w:tc>
          <w:tcPr>
            <w:tcW w:w="736" w:type="pct"/>
            <w:vAlign w:val="center"/>
          </w:tcPr>
          <w:p w14:paraId="5EFBA3AC" w14:textId="71314A80"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38C519F7" w14:textId="44BB42BA"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C81F5F0" w14:textId="67FBA765"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3F4068A9" w14:textId="08EF8DB7" w:rsidR="0044716A" w:rsidRPr="00781112" w:rsidRDefault="0044716A"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C4D03F4" w14:textId="691C6AA3" w:rsidR="0044716A" w:rsidRPr="00781112" w:rsidRDefault="0044716A" w:rsidP="0044716A">
            <w:pPr>
              <w:spacing w:before="0" w:after="0"/>
              <w:jc w:val="center"/>
              <w:rPr>
                <w:color w:val="000000" w:themeColor="text1"/>
              </w:rPr>
            </w:pPr>
            <w:r w:rsidRPr="00781112">
              <w:rPr>
                <w:rFonts w:cs="Arial"/>
                <w:color w:val="000000" w:themeColor="text1"/>
                <w:szCs w:val="16"/>
              </w:rPr>
              <w:t>92.18%</w:t>
            </w:r>
          </w:p>
        </w:tc>
      </w:tr>
      <w:tr w:rsidR="0050331E" w:rsidRPr="00781112" w14:paraId="4F9BC9D4" w14:textId="17B65B8C" w:rsidTr="00360DD6">
        <w:trPr>
          <w:trHeight w:val="368"/>
        </w:trPr>
        <w:tc>
          <w:tcPr>
            <w:tcW w:w="736" w:type="pct"/>
            <w:vAlign w:val="center"/>
          </w:tcPr>
          <w:p w14:paraId="7AB33ACC" w14:textId="0B04094A"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72D05B63" w14:textId="45D6CED5"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E4ED129" w14:textId="1B77E470"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0BAF6D2" w14:textId="6183503D"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E2C5F4" w14:textId="05AA23CF"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88.50%</w:t>
            </w:r>
          </w:p>
        </w:tc>
      </w:tr>
      <w:tr w:rsidR="0050331E" w:rsidRPr="00781112" w14:paraId="0B899335" w14:textId="7CB02598" w:rsidTr="00360DD6">
        <w:trPr>
          <w:trHeight w:val="368"/>
        </w:trPr>
        <w:tc>
          <w:tcPr>
            <w:tcW w:w="736" w:type="pct"/>
            <w:vAlign w:val="center"/>
          </w:tcPr>
          <w:p w14:paraId="6148FD1E" w14:textId="34E507DE"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69AA774" w14:textId="3B2C9DD9"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616D407" w14:textId="20B9E90F"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705909C" w14:textId="172EAC9C"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C9F3B59" w14:textId="74A08D13"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82.04%</w:t>
            </w:r>
          </w:p>
        </w:tc>
      </w:tr>
      <w:tr w:rsidR="00312480" w:rsidRPr="00781112" w14:paraId="3D1AAF73" w14:textId="678EC166" w:rsidTr="00360DD6">
        <w:trPr>
          <w:trHeight w:val="368"/>
        </w:trPr>
        <w:tc>
          <w:tcPr>
            <w:tcW w:w="736" w:type="pct"/>
            <w:vAlign w:val="center"/>
          </w:tcPr>
          <w:p w14:paraId="49AF9334" w14:textId="516B9B0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7E10643" w14:textId="3D4CDCC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EBA000C" w14:textId="1E09C3E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0A09FAE" w14:textId="4A9CE939"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A9E42AA" w14:textId="63810B5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92.39%</w:t>
            </w:r>
          </w:p>
        </w:tc>
      </w:tr>
      <w:tr w:rsidR="00312480" w:rsidRPr="00781112" w14:paraId="4B0C895C" w14:textId="6CF5FA93" w:rsidTr="00360DD6">
        <w:trPr>
          <w:trHeight w:val="368"/>
        </w:trPr>
        <w:tc>
          <w:tcPr>
            <w:tcW w:w="736" w:type="pct"/>
            <w:vAlign w:val="center"/>
          </w:tcPr>
          <w:p w14:paraId="6ED5896C" w14:textId="28272B0B"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43C9B56E" w14:textId="3D5B99D0"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C4210F5" w14:textId="3BFF9BEC"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D91523A" w14:textId="169DAD5C"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39ABC62" w14:textId="1E7FF874"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87.79%</w:t>
            </w:r>
          </w:p>
        </w:tc>
      </w:tr>
      <w:tr w:rsidR="00312480" w:rsidRPr="00781112" w14:paraId="43BF7697" w14:textId="58F9CE70" w:rsidTr="00360DD6">
        <w:trPr>
          <w:trHeight w:val="368"/>
        </w:trPr>
        <w:tc>
          <w:tcPr>
            <w:tcW w:w="736" w:type="pct"/>
            <w:vAlign w:val="center"/>
          </w:tcPr>
          <w:p w14:paraId="10E5C656" w14:textId="01AB1420"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AFE65DD" w14:textId="5679921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C96A826" w14:textId="656222C9"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6848966B" w14:textId="49F3A33A"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71898A" w14:textId="300CF13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87.24%</w:t>
            </w:r>
          </w:p>
        </w:tc>
      </w:tr>
    </w:tbl>
    <w:p w14:paraId="1049ED79" w14:textId="19F4A63B" w:rsidR="00E023E6" w:rsidRPr="00781112" w:rsidRDefault="00E023E6">
      <w:pPr>
        <w:spacing w:before="0" w:after="200" w:line="276" w:lineRule="auto"/>
        <w:rPr>
          <w:b/>
          <w:color w:val="000000" w:themeColor="text1"/>
        </w:rPr>
      </w:pPr>
    </w:p>
    <w:p w14:paraId="7F4B46FE" w14:textId="77777777" w:rsidR="0034094E" w:rsidRPr="00781112" w:rsidRDefault="0034094E" w:rsidP="0034094E">
      <w:pPr>
        <w:rPr>
          <w:b/>
          <w:color w:val="000000" w:themeColor="text1"/>
        </w:rPr>
      </w:pPr>
      <w:r w:rsidRPr="00781112">
        <w:rPr>
          <w:b/>
          <w:color w:val="000000" w:themeColor="text1"/>
        </w:rPr>
        <w:t>Targets</w:t>
      </w:r>
    </w:p>
    <w:tbl>
      <w:tblPr>
        <w:tblW w:w="4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6"/>
        <w:gridCol w:w="722"/>
        <w:gridCol w:w="1172"/>
        <w:gridCol w:w="1334"/>
        <w:gridCol w:w="1333"/>
        <w:gridCol w:w="1333"/>
        <w:gridCol w:w="1333"/>
        <w:gridCol w:w="1333"/>
      </w:tblGrid>
      <w:tr w:rsidR="00B14519" w:rsidRPr="00781112" w14:paraId="61B13027" w14:textId="7E8C0770" w:rsidTr="00451D7E">
        <w:tc>
          <w:tcPr>
            <w:tcW w:w="473" w:type="pct"/>
            <w:tcBorders>
              <w:bottom w:val="single" w:sz="4" w:space="0" w:color="auto"/>
            </w:tcBorders>
            <w:shd w:val="clear" w:color="auto" w:fill="auto"/>
            <w:vAlign w:val="center"/>
          </w:tcPr>
          <w:p w14:paraId="41C1EDA8" w14:textId="77777777" w:rsidR="00B14519" w:rsidRPr="00781112" w:rsidRDefault="00B14519" w:rsidP="00FD5357">
            <w:pPr>
              <w:jc w:val="center"/>
              <w:rPr>
                <w:b/>
                <w:color w:val="000000" w:themeColor="text1"/>
              </w:rPr>
            </w:pPr>
            <w:r w:rsidRPr="00781112">
              <w:rPr>
                <w:b/>
                <w:color w:val="000000" w:themeColor="text1"/>
              </w:rPr>
              <w:t>Subject</w:t>
            </w:r>
          </w:p>
        </w:tc>
        <w:tc>
          <w:tcPr>
            <w:tcW w:w="381" w:type="pct"/>
            <w:tcBorders>
              <w:bottom w:val="single" w:sz="4" w:space="0" w:color="auto"/>
            </w:tcBorders>
            <w:shd w:val="clear" w:color="auto" w:fill="auto"/>
            <w:vAlign w:val="center"/>
          </w:tcPr>
          <w:p w14:paraId="47C72AA9" w14:textId="77777777" w:rsidR="00B14519" w:rsidRPr="00781112" w:rsidRDefault="00B14519" w:rsidP="00FD5357">
            <w:pPr>
              <w:jc w:val="center"/>
              <w:rPr>
                <w:b/>
                <w:color w:val="000000" w:themeColor="text1"/>
              </w:rPr>
            </w:pPr>
            <w:r w:rsidRPr="00781112">
              <w:rPr>
                <w:b/>
                <w:color w:val="000000" w:themeColor="text1"/>
              </w:rPr>
              <w:t>Group</w:t>
            </w:r>
          </w:p>
        </w:tc>
        <w:tc>
          <w:tcPr>
            <w:tcW w:w="619" w:type="pct"/>
            <w:shd w:val="clear" w:color="auto" w:fill="auto"/>
            <w:vAlign w:val="center"/>
          </w:tcPr>
          <w:p w14:paraId="3EBC6D10" w14:textId="77777777" w:rsidR="00B14519" w:rsidRPr="00781112" w:rsidDel="008E7B87" w:rsidRDefault="00B14519" w:rsidP="00FD5357">
            <w:pPr>
              <w:jc w:val="center"/>
              <w:rPr>
                <w:b/>
                <w:color w:val="000000" w:themeColor="text1"/>
              </w:rPr>
            </w:pPr>
            <w:r w:rsidRPr="00781112">
              <w:rPr>
                <w:b/>
                <w:color w:val="000000" w:themeColor="text1"/>
              </w:rPr>
              <w:t>Group Name</w:t>
            </w:r>
          </w:p>
        </w:tc>
        <w:tc>
          <w:tcPr>
            <w:tcW w:w="705" w:type="pct"/>
            <w:shd w:val="clear" w:color="auto" w:fill="auto"/>
            <w:vAlign w:val="center"/>
          </w:tcPr>
          <w:p w14:paraId="5DB0C638" w14:textId="77777777" w:rsidR="00B14519" w:rsidRPr="00781112" w:rsidRDefault="00B14519" w:rsidP="00FD5357">
            <w:pPr>
              <w:jc w:val="center"/>
              <w:rPr>
                <w:b/>
                <w:color w:val="000000" w:themeColor="text1"/>
              </w:rPr>
            </w:pPr>
            <w:r w:rsidRPr="00781112">
              <w:rPr>
                <w:b/>
                <w:color w:val="000000" w:themeColor="text1"/>
              </w:rPr>
              <w:t>2021</w:t>
            </w:r>
          </w:p>
        </w:tc>
        <w:tc>
          <w:tcPr>
            <w:tcW w:w="705" w:type="pct"/>
            <w:vAlign w:val="center"/>
          </w:tcPr>
          <w:p w14:paraId="2BCE0486" w14:textId="3C221AF8" w:rsidR="00B14519" w:rsidRPr="00781112" w:rsidRDefault="00B14519" w:rsidP="00FD5357">
            <w:pPr>
              <w:jc w:val="center"/>
              <w:rPr>
                <w:b/>
                <w:color w:val="000000" w:themeColor="text1"/>
              </w:rPr>
            </w:pPr>
            <w:r w:rsidRPr="00781112">
              <w:rPr>
                <w:rFonts w:cs="Arial"/>
                <w:b/>
                <w:color w:val="000000" w:themeColor="text1"/>
                <w:szCs w:val="16"/>
              </w:rPr>
              <w:t>2022</w:t>
            </w:r>
          </w:p>
        </w:tc>
        <w:tc>
          <w:tcPr>
            <w:tcW w:w="705" w:type="pct"/>
            <w:vAlign w:val="center"/>
          </w:tcPr>
          <w:p w14:paraId="1990502A" w14:textId="03716A79" w:rsidR="00B14519" w:rsidRPr="00781112" w:rsidRDefault="00B14519" w:rsidP="00FD5357">
            <w:pPr>
              <w:jc w:val="center"/>
              <w:rPr>
                <w:b/>
                <w:color w:val="000000" w:themeColor="text1"/>
              </w:rPr>
            </w:pPr>
            <w:r w:rsidRPr="00781112">
              <w:rPr>
                <w:rFonts w:cs="Arial"/>
                <w:b/>
                <w:color w:val="000000" w:themeColor="text1"/>
                <w:szCs w:val="16"/>
              </w:rPr>
              <w:t>2023</w:t>
            </w:r>
          </w:p>
        </w:tc>
        <w:tc>
          <w:tcPr>
            <w:tcW w:w="705" w:type="pct"/>
            <w:vAlign w:val="center"/>
          </w:tcPr>
          <w:p w14:paraId="72DB4D15" w14:textId="310E5749" w:rsidR="00B14519" w:rsidRPr="00781112" w:rsidRDefault="00B14519" w:rsidP="00FD5357">
            <w:pPr>
              <w:jc w:val="center"/>
              <w:rPr>
                <w:b/>
                <w:color w:val="000000" w:themeColor="text1"/>
              </w:rPr>
            </w:pPr>
            <w:r w:rsidRPr="00781112">
              <w:rPr>
                <w:rFonts w:cs="Arial"/>
                <w:b/>
                <w:color w:val="000000" w:themeColor="text1"/>
                <w:szCs w:val="16"/>
              </w:rPr>
              <w:t>2024</w:t>
            </w:r>
          </w:p>
        </w:tc>
        <w:tc>
          <w:tcPr>
            <w:tcW w:w="705" w:type="pct"/>
            <w:vAlign w:val="center"/>
          </w:tcPr>
          <w:p w14:paraId="62291C5B" w14:textId="0E374F42" w:rsidR="00B14519" w:rsidRPr="00781112" w:rsidRDefault="00B14519" w:rsidP="00FD5357">
            <w:pPr>
              <w:jc w:val="center"/>
              <w:rPr>
                <w:b/>
                <w:color w:val="000000" w:themeColor="text1"/>
              </w:rPr>
            </w:pPr>
            <w:r w:rsidRPr="00781112">
              <w:rPr>
                <w:rFonts w:cs="Arial"/>
                <w:b/>
                <w:color w:val="000000" w:themeColor="text1"/>
                <w:szCs w:val="16"/>
              </w:rPr>
              <w:t>2025</w:t>
            </w:r>
          </w:p>
        </w:tc>
      </w:tr>
      <w:tr w:rsidR="00B14519" w:rsidRPr="00781112" w14:paraId="5EF23A8E" w14:textId="333536B2" w:rsidTr="00451D7E">
        <w:tc>
          <w:tcPr>
            <w:tcW w:w="473" w:type="pct"/>
            <w:shd w:val="clear" w:color="auto" w:fill="auto"/>
            <w:vAlign w:val="center"/>
          </w:tcPr>
          <w:p w14:paraId="659131E4"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14:paraId="0E33DCFC"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A &gt;=</w:t>
            </w:r>
          </w:p>
        </w:tc>
        <w:tc>
          <w:tcPr>
            <w:tcW w:w="619" w:type="pct"/>
            <w:shd w:val="clear" w:color="auto" w:fill="auto"/>
            <w:vAlign w:val="center"/>
          </w:tcPr>
          <w:p w14:paraId="76B16B43" w14:textId="39FB8899" w:rsidR="00B14519" w:rsidRPr="00781112" w:rsidDel="00DB0A73" w:rsidRDefault="00B14519" w:rsidP="00C362C0">
            <w:pPr>
              <w:jc w:val="center"/>
              <w:rPr>
                <w:rFonts w:cs="Arial"/>
                <w:color w:val="000000" w:themeColor="text1"/>
                <w:szCs w:val="16"/>
              </w:rPr>
            </w:pPr>
            <w:r w:rsidRPr="00781112">
              <w:rPr>
                <w:rFonts w:cs="Arial"/>
                <w:color w:val="000000" w:themeColor="text1"/>
                <w:szCs w:val="16"/>
              </w:rPr>
              <w:t>Grade 4</w:t>
            </w:r>
          </w:p>
        </w:tc>
        <w:tc>
          <w:tcPr>
            <w:tcW w:w="705" w:type="pct"/>
            <w:shd w:val="clear" w:color="auto" w:fill="auto"/>
            <w:vAlign w:val="center"/>
          </w:tcPr>
          <w:p w14:paraId="0F6CE0A1" w14:textId="29A64BBD"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4A0A22E0" w14:textId="6BB46B0C" w:rsidR="00B14519" w:rsidRPr="00781112" w:rsidRDefault="00B14519" w:rsidP="00C362C0">
            <w:pPr>
              <w:jc w:val="center"/>
              <w:rPr>
                <w:rFonts w:cs="Arial"/>
                <w:color w:val="000000" w:themeColor="text1"/>
                <w:szCs w:val="16"/>
              </w:rPr>
            </w:pPr>
            <w:r w:rsidRPr="00781112">
              <w:rPr>
                <w:rFonts w:cs="Arial"/>
                <w:color w:val="000000" w:themeColor="text1"/>
                <w:szCs w:val="16"/>
              </w:rPr>
              <w:t>95.00%</w:t>
            </w:r>
            <w:r w:rsidRPr="00781112">
              <w:t xml:space="preserve"> </w:t>
            </w:r>
          </w:p>
        </w:tc>
        <w:tc>
          <w:tcPr>
            <w:tcW w:w="705" w:type="pct"/>
            <w:vAlign w:val="center"/>
          </w:tcPr>
          <w:p w14:paraId="01E8CE0F" w14:textId="037B9FF4"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384B0AD2" w14:textId="38B3F908"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31EAFB06" w14:textId="6B6573E2"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r>
      <w:tr w:rsidR="00B14519" w:rsidRPr="00781112" w14:paraId="0DC87485" w14:textId="7CEA602E" w:rsidTr="00451D7E">
        <w:tc>
          <w:tcPr>
            <w:tcW w:w="473" w:type="pct"/>
            <w:shd w:val="clear" w:color="auto" w:fill="auto"/>
            <w:vAlign w:val="center"/>
          </w:tcPr>
          <w:p w14:paraId="0DBD5106"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14:paraId="32DA1B30"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B &gt;=</w:t>
            </w:r>
          </w:p>
        </w:tc>
        <w:tc>
          <w:tcPr>
            <w:tcW w:w="619" w:type="pct"/>
            <w:shd w:val="clear" w:color="auto" w:fill="auto"/>
            <w:vAlign w:val="center"/>
          </w:tcPr>
          <w:p w14:paraId="7451C944" w14:textId="48D1DB42" w:rsidR="00B14519" w:rsidRPr="00781112" w:rsidDel="00DB0A73" w:rsidRDefault="00B14519" w:rsidP="00C362C0">
            <w:pPr>
              <w:jc w:val="center"/>
              <w:rPr>
                <w:rFonts w:cs="Arial"/>
                <w:color w:val="000000" w:themeColor="text1"/>
                <w:szCs w:val="16"/>
              </w:rPr>
            </w:pPr>
            <w:r w:rsidRPr="00781112">
              <w:rPr>
                <w:rFonts w:cs="Arial"/>
                <w:color w:val="000000" w:themeColor="text1"/>
                <w:szCs w:val="16"/>
              </w:rPr>
              <w:t>Grade 8</w:t>
            </w:r>
          </w:p>
        </w:tc>
        <w:tc>
          <w:tcPr>
            <w:tcW w:w="705" w:type="pct"/>
            <w:shd w:val="clear" w:color="auto" w:fill="auto"/>
            <w:vAlign w:val="center"/>
          </w:tcPr>
          <w:p w14:paraId="00A324D3" w14:textId="7CE00F34"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52AC2F70" w14:textId="3AB4351A"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32A4C051" w14:textId="2E65FFFC"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77CC4A95" w14:textId="1A1A42B6"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73563EF2" w14:textId="7C7E03A0"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r>
      <w:tr w:rsidR="00B14519" w:rsidRPr="00781112" w14:paraId="546837A9" w14:textId="0EC3B58A" w:rsidTr="00451D7E">
        <w:tc>
          <w:tcPr>
            <w:tcW w:w="473" w:type="pct"/>
            <w:shd w:val="clear" w:color="auto" w:fill="auto"/>
            <w:vAlign w:val="center"/>
          </w:tcPr>
          <w:p w14:paraId="5E2AB8D4"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14:paraId="2801904B"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C &gt;=</w:t>
            </w:r>
          </w:p>
        </w:tc>
        <w:tc>
          <w:tcPr>
            <w:tcW w:w="619" w:type="pct"/>
            <w:shd w:val="clear" w:color="auto" w:fill="auto"/>
            <w:vAlign w:val="center"/>
          </w:tcPr>
          <w:p w14:paraId="5F09655C" w14:textId="799E5EE7" w:rsidR="00B14519" w:rsidRPr="00781112" w:rsidDel="00DB0A73" w:rsidRDefault="00B14519" w:rsidP="00C362C0">
            <w:pPr>
              <w:jc w:val="center"/>
              <w:rPr>
                <w:rFonts w:cs="Arial"/>
                <w:color w:val="000000" w:themeColor="text1"/>
                <w:szCs w:val="16"/>
              </w:rPr>
            </w:pPr>
            <w:r w:rsidRPr="00781112">
              <w:rPr>
                <w:rFonts w:cs="Arial"/>
                <w:color w:val="000000" w:themeColor="text1"/>
                <w:szCs w:val="16"/>
              </w:rPr>
              <w:t>Grade HS</w:t>
            </w:r>
          </w:p>
        </w:tc>
        <w:tc>
          <w:tcPr>
            <w:tcW w:w="705" w:type="pct"/>
            <w:shd w:val="clear" w:color="auto" w:fill="auto"/>
            <w:vAlign w:val="center"/>
          </w:tcPr>
          <w:p w14:paraId="06826BA4" w14:textId="5829FE90"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14B1D7EC" w14:textId="5E17D245"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05B53368" w14:textId="52EA99DA"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55D2A6D2" w14:textId="0D1D128C"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0D56BAE2" w14:textId="2F5D29E0"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r>
      <w:tr w:rsidR="00B14519" w:rsidRPr="00781112" w14:paraId="42FB4D55" w14:textId="70E04CC1" w:rsidTr="00451D7E">
        <w:tc>
          <w:tcPr>
            <w:tcW w:w="473" w:type="pct"/>
            <w:shd w:val="clear" w:color="auto" w:fill="auto"/>
            <w:vAlign w:val="center"/>
          </w:tcPr>
          <w:p w14:paraId="5003C653"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14:paraId="3BDC476D"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A &gt;=</w:t>
            </w:r>
          </w:p>
        </w:tc>
        <w:tc>
          <w:tcPr>
            <w:tcW w:w="619" w:type="pct"/>
            <w:shd w:val="clear" w:color="auto" w:fill="auto"/>
            <w:vAlign w:val="center"/>
          </w:tcPr>
          <w:p w14:paraId="0CAD024F" w14:textId="139788C5" w:rsidR="00B14519" w:rsidRPr="00781112" w:rsidDel="00DB0A73" w:rsidRDefault="00B14519" w:rsidP="00C362C0">
            <w:pPr>
              <w:jc w:val="center"/>
              <w:rPr>
                <w:rFonts w:cs="Arial"/>
                <w:color w:val="000000" w:themeColor="text1"/>
                <w:szCs w:val="16"/>
              </w:rPr>
            </w:pPr>
            <w:r w:rsidRPr="00781112">
              <w:rPr>
                <w:rFonts w:cs="Arial"/>
                <w:color w:val="000000" w:themeColor="text1"/>
                <w:szCs w:val="16"/>
              </w:rPr>
              <w:t>Grade 4</w:t>
            </w:r>
          </w:p>
        </w:tc>
        <w:tc>
          <w:tcPr>
            <w:tcW w:w="705" w:type="pct"/>
            <w:shd w:val="clear" w:color="auto" w:fill="auto"/>
            <w:vAlign w:val="center"/>
          </w:tcPr>
          <w:p w14:paraId="643E3EC7" w14:textId="5E734881"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5C17E435" w14:textId="07B15AE7"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1B9AA205" w14:textId="39F901D2"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4966A75F" w14:textId="20C7AE15"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022FBD29" w14:textId="276E1879"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r>
      <w:tr w:rsidR="00B14519" w:rsidRPr="00781112" w14:paraId="36D735AC" w14:textId="5C55C170" w:rsidTr="00451D7E">
        <w:tc>
          <w:tcPr>
            <w:tcW w:w="473" w:type="pct"/>
            <w:shd w:val="clear" w:color="auto" w:fill="auto"/>
            <w:vAlign w:val="center"/>
          </w:tcPr>
          <w:p w14:paraId="3DD28514"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14:paraId="504829E1"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B &gt;=</w:t>
            </w:r>
          </w:p>
        </w:tc>
        <w:tc>
          <w:tcPr>
            <w:tcW w:w="619" w:type="pct"/>
            <w:shd w:val="clear" w:color="auto" w:fill="auto"/>
            <w:vAlign w:val="center"/>
          </w:tcPr>
          <w:p w14:paraId="7B7B7FDD" w14:textId="4EABA9DD" w:rsidR="00B14519" w:rsidRPr="00781112" w:rsidDel="00DB0A73" w:rsidRDefault="00B14519" w:rsidP="00C362C0">
            <w:pPr>
              <w:jc w:val="center"/>
              <w:rPr>
                <w:rFonts w:cs="Arial"/>
                <w:color w:val="000000" w:themeColor="text1"/>
                <w:szCs w:val="16"/>
              </w:rPr>
            </w:pPr>
            <w:r w:rsidRPr="00781112">
              <w:rPr>
                <w:rFonts w:cs="Arial"/>
                <w:color w:val="000000" w:themeColor="text1"/>
                <w:szCs w:val="16"/>
              </w:rPr>
              <w:t>Grade 8</w:t>
            </w:r>
          </w:p>
        </w:tc>
        <w:tc>
          <w:tcPr>
            <w:tcW w:w="705" w:type="pct"/>
            <w:shd w:val="clear" w:color="auto" w:fill="auto"/>
            <w:vAlign w:val="center"/>
          </w:tcPr>
          <w:p w14:paraId="4BE54D67" w14:textId="13C82F03"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1113A8B0" w14:textId="01C04123"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3A3B0FBA" w14:textId="478F9449"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789FBACE" w14:textId="6A3893AE"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22CE6700" w14:textId="17865EEB"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r>
      <w:tr w:rsidR="00B14519" w:rsidRPr="00781112" w14:paraId="6D5345B6" w14:textId="77468A6F" w:rsidTr="00451D7E">
        <w:tc>
          <w:tcPr>
            <w:tcW w:w="473" w:type="pct"/>
            <w:shd w:val="clear" w:color="auto" w:fill="auto"/>
            <w:vAlign w:val="center"/>
          </w:tcPr>
          <w:p w14:paraId="7932C55F"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14:paraId="2BCACF10"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C &gt;=</w:t>
            </w:r>
          </w:p>
        </w:tc>
        <w:tc>
          <w:tcPr>
            <w:tcW w:w="619" w:type="pct"/>
            <w:shd w:val="clear" w:color="auto" w:fill="auto"/>
            <w:vAlign w:val="center"/>
          </w:tcPr>
          <w:p w14:paraId="1E7674E7" w14:textId="620A24D0" w:rsidR="00B14519" w:rsidRPr="00781112" w:rsidDel="00DB0A73" w:rsidRDefault="00B14519" w:rsidP="00C362C0">
            <w:pPr>
              <w:jc w:val="center"/>
              <w:rPr>
                <w:rFonts w:cs="Arial"/>
                <w:color w:val="000000" w:themeColor="text1"/>
                <w:szCs w:val="16"/>
              </w:rPr>
            </w:pPr>
            <w:r w:rsidRPr="00781112">
              <w:rPr>
                <w:rFonts w:cs="Arial"/>
                <w:color w:val="000000" w:themeColor="text1"/>
                <w:szCs w:val="16"/>
              </w:rPr>
              <w:t>Grade HS</w:t>
            </w:r>
          </w:p>
        </w:tc>
        <w:tc>
          <w:tcPr>
            <w:tcW w:w="705" w:type="pct"/>
            <w:shd w:val="clear" w:color="auto" w:fill="auto"/>
            <w:vAlign w:val="center"/>
          </w:tcPr>
          <w:p w14:paraId="416F7E76" w14:textId="5B460752"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7ADA18AC" w14:textId="2893C149"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1BF168BC" w14:textId="476AE7F5"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3BB5329F" w14:textId="6B51850F"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3163C52B" w14:textId="316A6F3C"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r>
    </w:tbl>
    <w:p w14:paraId="4FED9CA8" w14:textId="44F264E8" w:rsidR="007765EF" w:rsidRDefault="007765EF" w:rsidP="00480083">
      <w:pPr>
        <w:rPr>
          <w:b/>
          <w:color w:val="000000" w:themeColor="text1"/>
        </w:rPr>
      </w:pPr>
    </w:p>
    <w:p w14:paraId="2215E695" w14:textId="77777777" w:rsidR="007765EF" w:rsidRDefault="007765EF">
      <w:pPr>
        <w:spacing w:before="0" w:after="200" w:line="276" w:lineRule="auto"/>
        <w:rPr>
          <w:b/>
          <w:color w:val="000000" w:themeColor="text1"/>
        </w:rPr>
      </w:pPr>
      <w:r>
        <w:rPr>
          <w:b/>
          <w:color w:val="000000" w:themeColor="text1"/>
        </w:rPr>
        <w:br w:type="page"/>
      </w:r>
    </w:p>
    <w:p w14:paraId="504D6A43" w14:textId="77777777" w:rsidR="00480083" w:rsidRPr="00781112" w:rsidRDefault="00480083" w:rsidP="00480083">
      <w:pPr>
        <w:rPr>
          <w:b/>
          <w:color w:val="000000" w:themeColor="text1"/>
        </w:rPr>
      </w:pPr>
    </w:p>
    <w:p w14:paraId="3F503660" w14:textId="72C6CE84" w:rsidR="00480083" w:rsidRPr="00781112" w:rsidRDefault="00480083" w:rsidP="00480083">
      <w:pPr>
        <w:rPr>
          <w:b/>
          <w:color w:val="000000" w:themeColor="text1"/>
        </w:rPr>
      </w:pPr>
      <w:r w:rsidRPr="00781112">
        <w:rPr>
          <w:b/>
          <w:color w:val="000000" w:themeColor="text1"/>
        </w:rPr>
        <w:t xml:space="preserve">Targets: Description of Stakeholder Input </w:t>
      </w:r>
    </w:p>
    <w:p w14:paraId="2DB4239B" w14:textId="2F83DC57" w:rsidR="00480083" w:rsidRPr="00781112" w:rsidRDefault="00480083" w:rsidP="00480083">
      <w:pPr>
        <w:rPr>
          <w:rFonts w:cs="Arial"/>
          <w:color w:val="000000" w:themeColor="text1"/>
          <w:szCs w:val="16"/>
        </w:rPr>
      </w:pPr>
    </w:p>
    <w:p w14:paraId="4B8B8032" w14:textId="4731FBE7" w:rsidR="0034094E" w:rsidRPr="00781112" w:rsidRDefault="0034094E">
      <w:pPr>
        <w:spacing w:before="0" w:after="200" w:line="276" w:lineRule="auto"/>
        <w:rPr>
          <w:b/>
          <w:color w:val="000000" w:themeColor="text1"/>
        </w:rPr>
      </w:pPr>
    </w:p>
    <w:p w14:paraId="185A3541" w14:textId="67850A3C" w:rsidR="004F4016" w:rsidRPr="00781112" w:rsidRDefault="00FA33C9" w:rsidP="004F4016">
      <w:pPr>
        <w:rPr>
          <w:b/>
          <w:color w:val="000000" w:themeColor="text1"/>
        </w:rPr>
      </w:pPr>
      <w:r>
        <w:rPr>
          <w:b/>
          <w:color w:val="000000" w:themeColor="text1"/>
        </w:rPr>
        <w:t>FFY 2021 Data Disaggregation from EDFacts</w:t>
      </w:r>
    </w:p>
    <w:p w14:paraId="0D0950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395788DA" w14:textId="77777777" w:rsidR="004F4016" w:rsidRPr="00781112" w:rsidRDefault="004F4016" w:rsidP="004F4016">
      <w:pPr>
        <w:rPr>
          <w:rFonts w:cs="Arial"/>
          <w:color w:val="000000" w:themeColor="text1"/>
          <w:szCs w:val="16"/>
        </w:rPr>
      </w:pPr>
      <w:r w:rsidRPr="00781112">
        <w:rPr>
          <w:rFonts w:cs="Arial"/>
          <w:color w:val="000000" w:themeColor="text1"/>
          <w:szCs w:val="16"/>
        </w:rPr>
        <w:t>SY 2021-22 Assessment Data Groups - Reading  (EDFacts file spec FS188; Data Group: 589)</w:t>
      </w:r>
    </w:p>
    <w:p w14:paraId="6E29ED7B"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5988832A" w14:textId="77777777" w:rsidR="004F4016" w:rsidRPr="00781112" w:rsidRDefault="004F4016" w:rsidP="004F4016">
      <w:pPr>
        <w:rPr>
          <w:rFonts w:cs="Arial"/>
          <w:color w:val="000000" w:themeColor="text1"/>
          <w:szCs w:val="16"/>
        </w:rPr>
      </w:pPr>
      <w:r w:rsidRPr="00781112">
        <w:rPr>
          <w:rFonts w:cs="Arial"/>
          <w:color w:val="000000" w:themeColor="text1"/>
          <w:szCs w:val="16"/>
        </w:rPr>
        <w:t>04/05/2023</w:t>
      </w:r>
    </w:p>
    <w:p w14:paraId="651CC948" w14:textId="77777777" w:rsidR="004F4016" w:rsidRPr="00781112" w:rsidRDefault="004F4016" w:rsidP="004F4016">
      <w:pPr>
        <w:rPr>
          <w:b/>
          <w:color w:val="000000" w:themeColor="text1"/>
        </w:rPr>
      </w:pPr>
      <w:r w:rsidRPr="00781112">
        <w:rPr>
          <w:b/>
          <w:color w:val="000000" w:themeColor="text1"/>
        </w:rPr>
        <w:t>Reading Assessment Participation Data by Grade</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403AD72A" w14:textId="77777777" w:rsidTr="009E026B">
        <w:tc>
          <w:tcPr>
            <w:tcW w:w="1541" w:type="pct"/>
            <w:shd w:val="clear" w:color="auto" w:fill="auto"/>
            <w:vAlign w:val="center"/>
          </w:tcPr>
          <w:p w14:paraId="1C62C5FF" w14:textId="603ACFA1"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3BC293C7" w14:textId="23FBE050"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2B9E34ED" w14:textId="748CD695"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1C889EA5" w14:textId="5C3575D5"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384D4241" w14:textId="77777777" w:rsidTr="009E026B">
        <w:tc>
          <w:tcPr>
            <w:tcW w:w="1541" w:type="pct"/>
            <w:shd w:val="clear" w:color="auto" w:fill="auto"/>
            <w:vAlign w:val="center"/>
          </w:tcPr>
          <w:p w14:paraId="2C5D3B14" w14:textId="422A2E91" w:rsidR="00DD7CEF" w:rsidRPr="00781112" w:rsidRDefault="00DD7CEF" w:rsidP="00827FF4">
            <w:pPr>
              <w:rPr>
                <w:rFonts w:cs="Arial"/>
                <w:color w:val="000000" w:themeColor="text1"/>
                <w:szCs w:val="16"/>
              </w:rPr>
            </w:pPr>
            <w:r w:rsidRPr="00781112">
              <w:rPr>
                <w:rFonts w:cs="Arial"/>
                <w:color w:val="000000" w:themeColor="text1"/>
                <w:szCs w:val="16"/>
              </w:rPr>
              <w:t>a. Children with IEPs*</w:t>
            </w:r>
          </w:p>
        </w:tc>
        <w:tc>
          <w:tcPr>
            <w:tcW w:w="1153" w:type="pct"/>
            <w:shd w:val="clear" w:color="auto" w:fill="auto"/>
            <w:vAlign w:val="center"/>
          </w:tcPr>
          <w:p w14:paraId="76979ED3" w14:textId="29C55693" w:rsidR="00DD7CEF" w:rsidRPr="00781112" w:rsidRDefault="00DD7CEF" w:rsidP="00360DD6">
            <w:pPr>
              <w:jc w:val="center"/>
              <w:rPr>
                <w:rFonts w:cs="Arial"/>
                <w:color w:val="000000" w:themeColor="text1"/>
                <w:szCs w:val="16"/>
              </w:rPr>
            </w:pPr>
            <w:r w:rsidRPr="00781112">
              <w:rPr>
                <w:rFonts w:cs="Arial"/>
                <w:color w:val="000000" w:themeColor="text1"/>
                <w:szCs w:val="16"/>
              </w:rPr>
              <w:t>9,913</w:t>
            </w:r>
          </w:p>
        </w:tc>
        <w:tc>
          <w:tcPr>
            <w:tcW w:w="1153" w:type="pct"/>
            <w:shd w:val="clear" w:color="auto" w:fill="auto"/>
            <w:vAlign w:val="center"/>
          </w:tcPr>
          <w:p w14:paraId="35D7BA3B" w14:textId="1A0E2FBE" w:rsidR="00DD7CEF" w:rsidRPr="00781112" w:rsidRDefault="00DD7CEF" w:rsidP="00360DD6">
            <w:pPr>
              <w:jc w:val="center"/>
              <w:rPr>
                <w:rFonts w:cs="Arial"/>
                <w:color w:val="000000" w:themeColor="text1"/>
                <w:szCs w:val="16"/>
              </w:rPr>
            </w:pPr>
            <w:r w:rsidRPr="00781112">
              <w:rPr>
                <w:rFonts w:cs="Arial"/>
                <w:color w:val="000000" w:themeColor="text1"/>
                <w:szCs w:val="16"/>
              </w:rPr>
              <w:t>9,206</w:t>
            </w:r>
          </w:p>
        </w:tc>
        <w:tc>
          <w:tcPr>
            <w:tcW w:w="1153" w:type="pct"/>
            <w:shd w:val="clear" w:color="auto" w:fill="auto"/>
            <w:vAlign w:val="center"/>
          </w:tcPr>
          <w:p w14:paraId="052A06A3" w14:textId="4AC6D010" w:rsidR="00DD7CEF" w:rsidRPr="00781112" w:rsidRDefault="00DD7CEF" w:rsidP="00360DD6">
            <w:pPr>
              <w:jc w:val="center"/>
              <w:rPr>
                <w:rFonts w:cs="Arial"/>
                <w:color w:val="000000" w:themeColor="text1"/>
                <w:szCs w:val="16"/>
              </w:rPr>
            </w:pPr>
            <w:r w:rsidRPr="00781112">
              <w:rPr>
                <w:rFonts w:cs="Arial"/>
                <w:color w:val="000000" w:themeColor="text1"/>
                <w:szCs w:val="16"/>
              </w:rPr>
              <w:t>7,111</w:t>
            </w:r>
          </w:p>
        </w:tc>
      </w:tr>
      <w:tr w:rsidR="00DD7CEF" w:rsidRPr="00781112" w14:paraId="7B6E221D" w14:textId="77777777" w:rsidTr="009E026B">
        <w:tc>
          <w:tcPr>
            <w:tcW w:w="1541" w:type="pct"/>
            <w:shd w:val="clear" w:color="auto" w:fill="auto"/>
            <w:vAlign w:val="center"/>
          </w:tcPr>
          <w:p w14:paraId="06F38372" w14:textId="7C3FDC42" w:rsidR="00DD7CEF" w:rsidRPr="00781112" w:rsidRDefault="00DD7CEF" w:rsidP="00827FF4">
            <w:pPr>
              <w:rPr>
                <w:rFonts w:cs="Arial"/>
                <w:color w:val="000000" w:themeColor="text1"/>
                <w:szCs w:val="16"/>
              </w:rPr>
            </w:pPr>
            <w:r w:rsidRPr="00781112">
              <w:rPr>
                <w:rFonts w:cs="Arial"/>
                <w:color w:val="000000" w:themeColor="text1"/>
                <w:szCs w:val="16"/>
              </w:rPr>
              <w:t>b. Children with IEPs in regular assessment with no accommodations</w:t>
            </w:r>
          </w:p>
        </w:tc>
        <w:tc>
          <w:tcPr>
            <w:tcW w:w="1153" w:type="pct"/>
            <w:shd w:val="clear" w:color="auto" w:fill="auto"/>
            <w:vAlign w:val="center"/>
          </w:tcPr>
          <w:p w14:paraId="59910B66" w14:textId="372C2375" w:rsidR="00DD7CEF" w:rsidRPr="00781112" w:rsidRDefault="00DD7CEF" w:rsidP="00360DD6">
            <w:pPr>
              <w:jc w:val="center"/>
              <w:rPr>
                <w:rFonts w:cs="Arial"/>
                <w:color w:val="000000" w:themeColor="text1"/>
                <w:szCs w:val="16"/>
              </w:rPr>
            </w:pPr>
            <w:r w:rsidRPr="00781112">
              <w:rPr>
                <w:rFonts w:cs="Arial"/>
                <w:color w:val="000000" w:themeColor="text1"/>
                <w:szCs w:val="16"/>
              </w:rPr>
              <w:t>2,863</w:t>
            </w:r>
          </w:p>
        </w:tc>
        <w:tc>
          <w:tcPr>
            <w:tcW w:w="1153" w:type="pct"/>
            <w:shd w:val="clear" w:color="auto" w:fill="auto"/>
            <w:vAlign w:val="center"/>
          </w:tcPr>
          <w:p w14:paraId="58E61FB0" w14:textId="02C429C4" w:rsidR="00DD7CEF" w:rsidRPr="00781112" w:rsidRDefault="00DD7CEF" w:rsidP="00360DD6">
            <w:pPr>
              <w:jc w:val="center"/>
              <w:rPr>
                <w:rFonts w:cs="Arial"/>
                <w:color w:val="000000" w:themeColor="text1"/>
                <w:szCs w:val="16"/>
              </w:rPr>
            </w:pPr>
            <w:r w:rsidRPr="00781112">
              <w:rPr>
                <w:rFonts w:cs="Arial"/>
                <w:color w:val="000000" w:themeColor="text1"/>
                <w:szCs w:val="16"/>
              </w:rPr>
              <w:t>1,890</w:t>
            </w:r>
          </w:p>
        </w:tc>
        <w:tc>
          <w:tcPr>
            <w:tcW w:w="1153" w:type="pct"/>
            <w:shd w:val="clear" w:color="auto" w:fill="auto"/>
            <w:vAlign w:val="center"/>
          </w:tcPr>
          <w:p w14:paraId="60320EC9" w14:textId="6D87AECE" w:rsidR="00DD7CEF" w:rsidRPr="00781112" w:rsidRDefault="00DD7CEF" w:rsidP="00360DD6">
            <w:pPr>
              <w:jc w:val="center"/>
              <w:rPr>
                <w:rFonts w:cs="Arial"/>
                <w:color w:val="000000" w:themeColor="text1"/>
                <w:szCs w:val="16"/>
              </w:rPr>
            </w:pPr>
            <w:r w:rsidRPr="00781112">
              <w:rPr>
                <w:rFonts w:cs="Arial"/>
                <w:color w:val="000000" w:themeColor="text1"/>
                <w:szCs w:val="16"/>
              </w:rPr>
              <w:t>3,180</w:t>
            </w:r>
          </w:p>
        </w:tc>
      </w:tr>
      <w:tr w:rsidR="00DD7CEF" w:rsidRPr="00781112" w14:paraId="764B5297" w14:textId="77777777" w:rsidTr="009E026B">
        <w:tc>
          <w:tcPr>
            <w:tcW w:w="1541" w:type="pct"/>
            <w:shd w:val="clear" w:color="auto" w:fill="auto"/>
            <w:vAlign w:val="center"/>
          </w:tcPr>
          <w:p w14:paraId="4B1F9E5B" w14:textId="0565B8FB"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w:t>
            </w:r>
          </w:p>
        </w:tc>
        <w:tc>
          <w:tcPr>
            <w:tcW w:w="1153" w:type="pct"/>
            <w:shd w:val="clear" w:color="auto" w:fill="auto"/>
            <w:vAlign w:val="center"/>
          </w:tcPr>
          <w:p w14:paraId="19E2C9E2" w14:textId="62074AB9" w:rsidR="00DD7CEF" w:rsidRPr="00781112" w:rsidRDefault="00DD7CEF" w:rsidP="00360DD6">
            <w:pPr>
              <w:jc w:val="center"/>
              <w:rPr>
                <w:rFonts w:cs="Arial"/>
                <w:color w:val="000000" w:themeColor="text1"/>
                <w:szCs w:val="16"/>
              </w:rPr>
            </w:pPr>
            <w:r w:rsidRPr="00781112">
              <w:rPr>
                <w:rFonts w:cs="Arial"/>
                <w:color w:val="000000" w:themeColor="text1"/>
                <w:szCs w:val="16"/>
              </w:rPr>
              <w:t>6,196</w:t>
            </w:r>
          </w:p>
        </w:tc>
        <w:tc>
          <w:tcPr>
            <w:tcW w:w="1153" w:type="pct"/>
            <w:shd w:val="clear" w:color="auto" w:fill="auto"/>
            <w:vAlign w:val="center"/>
          </w:tcPr>
          <w:p w14:paraId="3DB02599" w14:textId="2A0B712D" w:rsidR="00DD7CEF" w:rsidRPr="00781112" w:rsidRDefault="00DD7CEF" w:rsidP="00360DD6">
            <w:pPr>
              <w:jc w:val="center"/>
              <w:rPr>
                <w:rFonts w:cs="Arial"/>
                <w:color w:val="000000" w:themeColor="text1"/>
                <w:szCs w:val="16"/>
              </w:rPr>
            </w:pPr>
            <w:r w:rsidRPr="00781112">
              <w:rPr>
                <w:rFonts w:cs="Arial"/>
                <w:color w:val="000000" w:themeColor="text1"/>
                <w:szCs w:val="16"/>
              </w:rPr>
              <w:t>6,278</w:t>
            </w:r>
          </w:p>
        </w:tc>
        <w:tc>
          <w:tcPr>
            <w:tcW w:w="1153" w:type="pct"/>
            <w:shd w:val="clear" w:color="auto" w:fill="auto"/>
            <w:vAlign w:val="center"/>
          </w:tcPr>
          <w:p w14:paraId="4B5AD287" w14:textId="21E448FD" w:rsidR="00DD7CEF" w:rsidRPr="00781112" w:rsidRDefault="00DD7CEF" w:rsidP="00360DD6">
            <w:pPr>
              <w:jc w:val="center"/>
              <w:rPr>
                <w:rFonts w:cs="Arial"/>
                <w:color w:val="000000" w:themeColor="text1"/>
                <w:szCs w:val="16"/>
              </w:rPr>
            </w:pPr>
            <w:r w:rsidRPr="00781112">
              <w:rPr>
                <w:rFonts w:cs="Arial"/>
                <w:color w:val="000000" w:themeColor="text1"/>
                <w:szCs w:val="16"/>
              </w:rPr>
              <w:t>2,829</w:t>
            </w:r>
          </w:p>
        </w:tc>
      </w:tr>
      <w:tr w:rsidR="00DD7CEF" w:rsidRPr="00781112" w14:paraId="2174424F" w14:textId="77777777" w:rsidTr="009E026B">
        <w:tc>
          <w:tcPr>
            <w:tcW w:w="1541" w:type="pct"/>
            <w:shd w:val="clear" w:color="auto" w:fill="auto"/>
            <w:vAlign w:val="center"/>
          </w:tcPr>
          <w:p w14:paraId="42AC6AFC" w14:textId="5D9B93DA" w:rsidR="00DD7CEF" w:rsidRPr="00781112" w:rsidRDefault="00E67387" w:rsidP="00827FF4">
            <w:pPr>
              <w:rPr>
                <w:rFonts w:cs="Arial"/>
                <w:color w:val="000000" w:themeColor="text1"/>
                <w:szCs w:val="16"/>
              </w:rPr>
            </w:pPr>
            <w:r w:rsidRPr="00781112">
              <w:rPr>
                <w:rFonts w:cs="Arial"/>
                <w:color w:val="000000" w:themeColor="text1"/>
                <w:szCs w:val="16"/>
              </w:rPr>
              <w:t>d. Children with IEPs in alternate assessment against alternate standards</w:t>
            </w:r>
          </w:p>
        </w:tc>
        <w:tc>
          <w:tcPr>
            <w:tcW w:w="1153" w:type="pct"/>
            <w:shd w:val="clear" w:color="auto" w:fill="auto"/>
            <w:vAlign w:val="center"/>
          </w:tcPr>
          <w:p w14:paraId="372F0481" w14:textId="200584A1" w:rsidR="00DD7CEF" w:rsidRPr="00781112" w:rsidRDefault="00DD7CEF" w:rsidP="00360DD6">
            <w:pPr>
              <w:jc w:val="center"/>
              <w:rPr>
                <w:rFonts w:cs="Arial"/>
                <w:color w:val="000000" w:themeColor="text1"/>
                <w:szCs w:val="16"/>
              </w:rPr>
            </w:pPr>
            <w:r w:rsidRPr="00781112">
              <w:rPr>
                <w:rFonts w:cs="Arial"/>
                <w:color w:val="000000" w:themeColor="text1"/>
                <w:szCs w:val="16"/>
              </w:rPr>
              <w:t>741</w:t>
            </w:r>
          </w:p>
        </w:tc>
        <w:tc>
          <w:tcPr>
            <w:tcW w:w="1153" w:type="pct"/>
            <w:shd w:val="clear" w:color="auto" w:fill="auto"/>
            <w:vAlign w:val="center"/>
          </w:tcPr>
          <w:p w14:paraId="74C112C5" w14:textId="5B153323" w:rsidR="00DD7CEF" w:rsidRPr="00781112" w:rsidRDefault="00DD7CEF" w:rsidP="00360DD6">
            <w:pPr>
              <w:jc w:val="center"/>
              <w:rPr>
                <w:rFonts w:cs="Arial"/>
                <w:color w:val="000000" w:themeColor="text1"/>
                <w:szCs w:val="16"/>
              </w:rPr>
            </w:pPr>
            <w:r w:rsidRPr="00781112">
              <w:rPr>
                <w:rFonts w:cs="Arial"/>
                <w:color w:val="000000" w:themeColor="text1"/>
                <w:szCs w:val="16"/>
              </w:rPr>
              <w:t>741</w:t>
            </w:r>
          </w:p>
        </w:tc>
        <w:tc>
          <w:tcPr>
            <w:tcW w:w="1153" w:type="pct"/>
            <w:shd w:val="clear" w:color="auto" w:fill="auto"/>
            <w:vAlign w:val="center"/>
          </w:tcPr>
          <w:p w14:paraId="37AA75C1" w14:textId="6F75A72A" w:rsidR="00DD7CEF" w:rsidRPr="00781112" w:rsidRDefault="00DD7CEF" w:rsidP="00360DD6">
            <w:pPr>
              <w:jc w:val="center"/>
              <w:rPr>
                <w:rFonts w:cs="Arial"/>
                <w:color w:val="000000" w:themeColor="text1"/>
                <w:szCs w:val="16"/>
              </w:rPr>
            </w:pPr>
            <w:r w:rsidRPr="00781112">
              <w:rPr>
                <w:rFonts w:cs="Arial"/>
                <w:color w:val="000000" w:themeColor="text1"/>
                <w:szCs w:val="16"/>
              </w:rPr>
              <w:t>659</w:t>
            </w:r>
          </w:p>
        </w:tc>
      </w:tr>
    </w:tbl>
    <w:p w14:paraId="2BFA9082" w14:textId="77777777" w:rsidR="003C0975" w:rsidRPr="00781112" w:rsidRDefault="003C0975" w:rsidP="004F4016">
      <w:pPr>
        <w:rPr>
          <w:b/>
          <w:color w:val="000000" w:themeColor="text1"/>
        </w:rPr>
      </w:pPr>
    </w:p>
    <w:p w14:paraId="7180C1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7381D1CB" w14:textId="77777777" w:rsidR="004F4016" w:rsidRPr="00781112" w:rsidRDefault="004F4016" w:rsidP="004F4016">
      <w:pPr>
        <w:rPr>
          <w:rFonts w:cs="Arial"/>
          <w:color w:val="000000" w:themeColor="text1"/>
          <w:szCs w:val="16"/>
        </w:rPr>
      </w:pPr>
      <w:r w:rsidRPr="00781112">
        <w:rPr>
          <w:rFonts w:cs="Arial"/>
          <w:color w:val="000000" w:themeColor="text1"/>
          <w:szCs w:val="16"/>
        </w:rPr>
        <w:t>SY 2021-22 Assessment Data Groups - Math  (EDFacts file spec FS185; Data Group: 588)</w:t>
      </w:r>
    </w:p>
    <w:p w14:paraId="565A3F2C"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44216026" w14:textId="00B372B9" w:rsidR="004F4016" w:rsidRPr="00781112" w:rsidRDefault="004F4016" w:rsidP="004F4016">
      <w:pPr>
        <w:rPr>
          <w:rFonts w:cs="Arial"/>
          <w:color w:val="000000" w:themeColor="text1"/>
          <w:szCs w:val="16"/>
        </w:rPr>
      </w:pPr>
      <w:r w:rsidRPr="00781112">
        <w:rPr>
          <w:rFonts w:cs="Arial"/>
          <w:color w:val="000000" w:themeColor="text1"/>
          <w:szCs w:val="16"/>
        </w:rPr>
        <w:t>04/05/2023</w:t>
      </w:r>
    </w:p>
    <w:p w14:paraId="4F72747C"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765286EB" w14:textId="77777777" w:rsidTr="009E026B">
        <w:tc>
          <w:tcPr>
            <w:tcW w:w="1541" w:type="pct"/>
            <w:shd w:val="clear" w:color="auto" w:fill="auto"/>
            <w:vAlign w:val="center"/>
          </w:tcPr>
          <w:p w14:paraId="74EB9B5A" w14:textId="0F9AEAED"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0DB3B187" w14:textId="58265A3B"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41AE35D3" w14:textId="574BC069"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5353B8D1" w14:textId="6B6DA4E3"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3F5839E5" w14:textId="77777777" w:rsidTr="009E026B">
        <w:tc>
          <w:tcPr>
            <w:tcW w:w="1541" w:type="pct"/>
            <w:shd w:val="clear" w:color="auto" w:fill="auto"/>
            <w:vAlign w:val="center"/>
          </w:tcPr>
          <w:p w14:paraId="570ED876" w14:textId="46869901" w:rsidR="00BA0CFF" w:rsidRPr="00781112" w:rsidRDefault="00BA0CFF" w:rsidP="00BA0CFF">
            <w:pPr>
              <w:rPr>
                <w:rFonts w:cs="Arial"/>
                <w:color w:val="000000" w:themeColor="text1"/>
                <w:szCs w:val="16"/>
              </w:rPr>
            </w:pPr>
            <w:r w:rsidRPr="00781112">
              <w:rPr>
                <w:rFonts w:cs="Arial"/>
                <w:color w:val="000000" w:themeColor="text1"/>
                <w:szCs w:val="16"/>
              </w:rPr>
              <w:t>a. Children with IEPs*</w:t>
            </w:r>
          </w:p>
        </w:tc>
        <w:tc>
          <w:tcPr>
            <w:tcW w:w="1153" w:type="pct"/>
            <w:shd w:val="clear" w:color="auto" w:fill="auto"/>
            <w:vAlign w:val="center"/>
          </w:tcPr>
          <w:p w14:paraId="6F9300B4" w14:textId="685B8914" w:rsidR="00BA0CFF" w:rsidRPr="00781112" w:rsidRDefault="00BA0CFF" w:rsidP="00360DD6">
            <w:pPr>
              <w:jc w:val="center"/>
              <w:rPr>
                <w:rFonts w:cs="Arial"/>
                <w:color w:val="000000" w:themeColor="text1"/>
                <w:szCs w:val="16"/>
              </w:rPr>
            </w:pPr>
            <w:r w:rsidRPr="00781112">
              <w:rPr>
                <w:rFonts w:cs="Arial"/>
                <w:color w:val="000000" w:themeColor="text1"/>
                <w:szCs w:val="16"/>
              </w:rPr>
              <w:t>9,910</w:t>
            </w:r>
          </w:p>
        </w:tc>
        <w:tc>
          <w:tcPr>
            <w:tcW w:w="1153" w:type="pct"/>
            <w:shd w:val="clear" w:color="auto" w:fill="auto"/>
            <w:vAlign w:val="center"/>
          </w:tcPr>
          <w:p w14:paraId="758EF16C" w14:textId="1AA6C4C5" w:rsidR="00BA0CFF" w:rsidRPr="00781112" w:rsidRDefault="00BA0CFF" w:rsidP="00360DD6">
            <w:pPr>
              <w:jc w:val="center"/>
              <w:rPr>
                <w:rFonts w:cs="Arial"/>
                <w:color w:val="000000" w:themeColor="text1"/>
                <w:szCs w:val="16"/>
              </w:rPr>
            </w:pPr>
            <w:r w:rsidRPr="00781112">
              <w:rPr>
                <w:rFonts w:cs="Arial"/>
                <w:color w:val="000000" w:themeColor="text1"/>
                <w:szCs w:val="16"/>
              </w:rPr>
              <w:t>9,208</w:t>
            </w:r>
          </w:p>
        </w:tc>
        <w:tc>
          <w:tcPr>
            <w:tcW w:w="1153" w:type="pct"/>
            <w:shd w:val="clear" w:color="auto" w:fill="auto"/>
            <w:vAlign w:val="center"/>
          </w:tcPr>
          <w:p w14:paraId="07D0BC24" w14:textId="0AD780C0" w:rsidR="00BA0CFF" w:rsidRPr="00781112" w:rsidRDefault="00BA0CFF" w:rsidP="00360DD6">
            <w:pPr>
              <w:jc w:val="center"/>
              <w:rPr>
                <w:rFonts w:cs="Arial"/>
                <w:color w:val="000000" w:themeColor="text1"/>
                <w:szCs w:val="16"/>
              </w:rPr>
            </w:pPr>
            <w:r w:rsidRPr="00781112">
              <w:rPr>
                <w:rFonts w:cs="Arial"/>
                <w:color w:val="000000" w:themeColor="text1"/>
                <w:szCs w:val="16"/>
              </w:rPr>
              <w:t>7,111</w:t>
            </w:r>
          </w:p>
        </w:tc>
      </w:tr>
      <w:tr w:rsidR="003A67B1" w:rsidRPr="00781112" w14:paraId="1B3F669C" w14:textId="77777777" w:rsidTr="009E026B">
        <w:tc>
          <w:tcPr>
            <w:tcW w:w="1541" w:type="pct"/>
            <w:shd w:val="clear" w:color="auto" w:fill="auto"/>
            <w:vAlign w:val="center"/>
          </w:tcPr>
          <w:p w14:paraId="36B1CD39" w14:textId="08730EA9" w:rsidR="003A67B1" w:rsidRPr="00781112" w:rsidRDefault="003A67B1" w:rsidP="003A67B1">
            <w:pPr>
              <w:rPr>
                <w:rFonts w:cs="Arial"/>
                <w:color w:val="000000" w:themeColor="text1"/>
                <w:szCs w:val="16"/>
              </w:rPr>
            </w:pPr>
            <w:r w:rsidRPr="00781112">
              <w:rPr>
                <w:rFonts w:cs="Arial"/>
                <w:color w:val="000000" w:themeColor="text1"/>
                <w:szCs w:val="16"/>
              </w:rPr>
              <w:t>b. Children with IEPs in regular assessment with no accommodations</w:t>
            </w:r>
          </w:p>
        </w:tc>
        <w:tc>
          <w:tcPr>
            <w:tcW w:w="1153" w:type="pct"/>
            <w:shd w:val="clear" w:color="auto" w:fill="auto"/>
            <w:vAlign w:val="center"/>
          </w:tcPr>
          <w:p w14:paraId="5E1AE50A" w14:textId="410612C1" w:rsidR="003A67B1" w:rsidRPr="00781112" w:rsidRDefault="003A67B1" w:rsidP="003A67B1">
            <w:pPr>
              <w:jc w:val="center"/>
              <w:rPr>
                <w:rFonts w:cs="Arial"/>
                <w:color w:val="000000" w:themeColor="text1"/>
                <w:szCs w:val="16"/>
              </w:rPr>
            </w:pPr>
            <w:r w:rsidRPr="00781112">
              <w:rPr>
                <w:rFonts w:cs="Arial"/>
                <w:color w:val="000000" w:themeColor="text1"/>
                <w:szCs w:val="16"/>
              </w:rPr>
              <w:t>2,752</w:t>
            </w:r>
          </w:p>
        </w:tc>
        <w:tc>
          <w:tcPr>
            <w:tcW w:w="1153" w:type="pct"/>
            <w:shd w:val="clear" w:color="auto" w:fill="auto"/>
            <w:vAlign w:val="center"/>
          </w:tcPr>
          <w:p w14:paraId="48D18899" w14:textId="210A5A25" w:rsidR="003A67B1" w:rsidRPr="00781112" w:rsidRDefault="003A67B1" w:rsidP="003A67B1">
            <w:pPr>
              <w:jc w:val="center"/>
              <w:rPr>
                <w:rFonts w:cs="Arial"/>
                <w:color w:val="000000" w:themeColor="text1"/>
                <w:szCs w:val="16"/>
              </w:rPr>
            </w:pPr>
            <w:r w:rsidRPr="00781112">
              <w:rPr>
                <w:rFonts w:cs="Arial"/>
                <w:color w:val="000000" w:themeColor="text1"/>
                <w:szCs w:val="16"/>
              </w:rPr>
              <w:t>1,758</w:t>
            </w:r>
          </w:p>
        </w:tc>
        <w:tc>
          <w:tcPr>
            <w:tcW w:w="1153" w:type="pct"/>
            <w:shd w:val="clear" w:color="auto" w:fill="auto"/>
            <w:vAlign w:val="center"/>
          </w:tcPr>
          <w:p w14:paraId="297238DD" w14:textId="253103BA" w:rsidR="003A67B1" w:rsidRPr="00781112" w:rsidRDefault="003A67B1" w:rsidP="003A67B1">
            <w:pPr>
              <w:jc w:val="center"/>
              <w:rPr>
                <w:rFonts w:cs="Arial"/>
                <w:color w:val="000000" w:themeColor="text1"/>
                <w:szCs w:val="16"/>
              </w:rPr>
            </w:pPr>
            <w:r w:rsidRPr="00781112">
              <w:rPr>
                <w:rFonts w:cs="Arial"/>
                <w:color w:val="000000" w:themeColor="text1"/>
                <w:szCs w:val="16"/>
              </w:rPr>
              <w:t>3,184</w:t>
            </w:r>
          </w:p>
        </w:tc>
      </w:tr>
      <w:tr w:rsidR="003A67B1" w:rsidRPr="00781112" w14:paraId="206D39D6" w14:textId="77777777" w:rsidTr="009E026B">
        <w:tc>
          <w:tcPr>
            <w:tcW w:w="1541" w:type="pct"/>
            <w:shd w:val="clear" w:color="auto" w:fill="auto"/>
            <w:vAlign w:val="center"/>
          </w:tcPr>
          <w:p w14:paraId="6A501FD3" w14:textId="6468B895"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w:t>
            </w:r>
          </w:p>
        </w:tc>
        <w:tc>
          <w:tcPr>
            <w:tcW w:w="1153" w:type="pct"/>
            <w:shd w:val="clear" w:color="auto" w:fill="auto"/>
            <w:vAlign w:val="center"/>
          </w:tcPr>
          <w:p w14:paraId="1EE1C17D" w14:textId="207E06F2" w:rsidR="003A67B1" w:rsidRPr="00781112" w:rsidRDefault="003A67B1" w:rsidP="003A67B1">
            <w:pPr>
              <w:jc w:val="center"/>
              <w:rPr>
                <w:rFonts w:cs="Arial"/>
                <w:color w:val="000000" w:themeColor="text1"/>
                <w:szCs w:val="16"/>
              </w:rPr>
            </w:pPr>
            <w:r w:rsidRPr="00781112">
              <w:rPr>
                <w:rFonts w:cs="Arial"/>
                <w:color w:val="000000" w:themeColor="text1"/>
                <w:szCs w:val="16"/>
              </w:rPr>
              <w:t>6,298</w:t>
            </w:r>
          </w:p>
        </w:tc>
        <w:tc>
          <w:tcPr>
            <w:tcW w:w="1153" w:type="pct"/>
            <w:shd w:val="clear" w:color="auto" w:fill="auto"/>
            <w:vAlign w:val="center"/>
          </w:tcPr>
          <w:p w14:paraId="55C89819" w14:textId="1DDD2B16" w:rsidR="003A67B1" w:rsidRPr="00781112" w:rsidRDefault="003A67B1" w:rsidP="003A67B1">
            <w:pPr>
              <w:jc w:val="center"/>
              <w:rPr>
                <w:rFonts w:cs="Arial"/>
                <w:color w:val="000000" w:themeColor="text1"/>
                <w:szCs w:val="16"/>
              </w:rPr>
            </w:pPr>
            <w:r w:rsidRPr="00781112">
              <w:rPr>
                <w:rFonts w:cs="Arial"/>
                <w:color w:val="000000" w:themeColor="text1"/>
                <w:szCs w:val="16"/>
              </w:rPr>
              <w:t>6,379</w:t>
            </w:r>
          </w:p>
        </w:tc>
        <w:tc>
          <w:tcPr>
            <w:tcW w:w="1153" w:type="pct"/>
            <w:shd w:val="clear" w:color="auto" w:fill="auto"/>
            <w:vAlign w:val="center"/>
          </w:tcPr>
          <w:p w14:paraId="0B7FE00F" w14:textId="48CAB52C" w:rsidR="003A67B1" w:rsidRPr="00781112" w:rsidRDefault="003A67B1" w:rsidP="003A67B1">
            <w:pPr>
              <w:jc w:val="center"/>
              <w:rPr>
                <w:rFonts w:cs="Arial"/>
                <w:color w:val="000000" w:themeColor="text1"/>
                <w:szCs w:val="16"/>
              </w:rPr>
            </w:pPr>
            <w:r w:rsidRPr="00781112">
              <w:rPr>
                <w:rFonts w:cs="Arial"/>
                <w:color w:val="000000" w:themeColor="text1"/>
                <w:szCs w:val="16"/>
              </w:rPr>
              <w:t>2,836</w:t>
            </w:r>
          </w:p>
        </w:tc>
      </w:tr>
      <w:tr w:rsidR="003A67B1" w:rsidRPr="00781112" w14:paraId="7C657E3A" w14:textId="77777777" w:rsidTr="009E026B">
        <w:tc>
          <w:tcPr>
            <w:tcW w:w="1541" w:type="pct"/>
            <w:shd w:val="clear" w:color="auto" w:fill="auto"/>
            <w:vAlign w:val="center"/>
          </w:tcPr>
          <w:p w14:paraId="19508B28" w14:textId="23952C15" w:rsidR="003A67B1" w:rsidRPr="00781112" w:rsidRDefault="003A67B1" w:rsidP="003A67B1">
            <w:pPr>
              <w:rPr>
                <w:rFonts w:cs="Arial"/>
                <w:color w:val="000000" w:themeColor="text1"/>
                <w:szCs w:val="16"/>
              </w:rPr>
            </w:pPr>
            <w:r w:rsidRPr="00781112">
              <w:rPr>
                <w:rFonts w:cs="Arial"/>
                <w:color w:val="000000" w:themeColor="text1"/>
                <w:szCs w:val="16"/>
              </w:rPr>
              <w:t>d. Children with IEPs in alternate assessment against alternate standards</w:t>
            </w:r>
          </w:p>
        </w:tc>
        <w:tc>
          <w:tcPr>
            <w:tcW w:w="1153" w:type="pct"/>
            <w:shd w:val="clear" w:color="auto" w:fill="auto"/>
            <w:vAlign w:val="center"/>
          </w:tcPr>
          <w:p w14:paraId="41F72ACA" w14:textId="2CC8E5F7" w:rsidR="003A67B1" w:rsidRPr="00781112" w:rsidRDefault="003A67B1" w:rsidP="003A67B1">
            <w:pPr>
              <w:jc w:val="center"/>
              <w:rPr>
                <w:rFonts w:cs="Arial"/>
                <w:color w:val="000000" w:themeColor="text1"/>
                <w:szCs w:val="16"/>
              </w:rPr>
            </w:pPr>
            <w:r w:rsidRPr="00781112">
              <w:rPr>
                <w:rFonts w:cs="Arial"/>
                <w:color w:val="000000" w:themeColor="text1"/>
                <w:szCs w:val="16"/>
              </w:rPr>
              <w:t>741</w:t>
            </w:r>
          </w:p>
        </w:tc>
        <w:tc>
          <w:tcPr>
            <w:tcW w:w="1153" w:type="pct"/>
            <w:shd w:val="clear" w:color="auto" w:fill="auto"/>
            <w:vAlign w:val="center"/>
          </w:tcPr>
          <w:p w14:paraId="42315622" w14:textId="322B0162" w:rsidR="003A67B1" w:rsidRPr="00781112" w:rsidRDefault="003A67B1" w:rsidP="003A67B1">
            <w:pPr>
              <w:jc w:val="center"/>
              <w:rPr>
                <w:rFonts w:cs="Arial"/>
                <w:color w:val="000000" w:themeColor="text1"/>
                <w:szCs w:val="16"/>
              </w:rPr>
            </w:pPr>
            <w:r w:rsidRPr="00781112">
              <w:rPr>
                <w:rFonts w:cs="Arial"/>
                <w:color w:val="000000" w:themeColor="text1"/>
                <w:szCs w:val="16"/>
              </w:rPr>
              <w:t>742</w:t>
            </w:r>
          </w:p>
        </w:tc>
        <w:tc>
          <w:tcPr>
            <w:tcW w:w="1153" w:type="pct"/>
            <w:shd w:val="clear" w:color="auto" w:fill="auto"/>
            <w:vAlign w:val="center"/>
          </w:tcPr>
          <w:p w14:paraId="79C22C84" w14:textId="36E0DF79" w:rsidR="003A67B1" w:rsidRPr="00781112" w:rsidRDefault="003A67B1" w:rsidP="003A67B1">
            <w:pPr>
              <w:jc w:val="center"/>
              <w:rPr>
                <w:rFonts w:cs="Arial"/>
                <w:color w:val="000000" w:themeColor="text1"/>
                <w:szCs w:val="16"/>
              </w:rPr>
            </w:pPr>
            <w:r w:rsidRPr="00781112">
              <w:rPr>
                <w:rFonts w:cs="Arial"/>
                <w:color w:val="000000" w:themeColor="text1"/>
                <w:szCs w:val="16"/>
              </w:rPr>
              <w:t>657</w:t>
            </w:r>
          </w:p>
        </w:tc>
      </w:tr>
    </w:tbl>
    <w:p w14:paraId="28134ACD" w14:textId="77777777" w:rsidR="004F2A22" w:rsidRDefault="004F2A22" w:rsidP="003E3AED"/>
    <w:p w14:paraId="1074FBF7" w14:textId="5A346BAA" w:rsidR="003E3AED" w:rsidRDefault="003C0975" w:rsidP="003E3AED">
      <w:r>
        <w:t xml:space="preserve">*The children with IEPs count </w:t>
      </w:r>
      <w:r w:rsidRPr="007905E7">
        <w:t xml:space="preserve">excludes </w:t>
      </w:r>
      <w:r>
        <w:t xml:space="preserve">children with disabilities </w:t>
      </w:r>
      <w:r w:rsidRPr="007905E7">
        <w:t>who were reported as exempt due to significant medical emergency</w:t>
      </w:r>
      <w:r w:rsidR="003E3AED">
        <w:t xml:space="preserve"> in row a for all the prefilled data in this indicator.</w:t>
      </w:r>
    </w:p>
    <w:p w14:paraId="20F9FF57" w14:textId="77777777" w:rsidR="003C0975" w:rsidRPr="00781112" w:rsidRDefault="003C0975" w:rsidP="004F4016">
      <w:pPr>
        <w:rPr>
          <w:color w:val="000000" w:themeColor="text1"/>
        </w:rPr>
      </w:pPr>
    </w:p>
    <w:p w14:paraId="44A15970" w14:textId="28A0F3B0" w:rsidR="004F4016" w:rsidRPr="00781112" w:rsidRDefault="0047313F" w:rsidP="004F4016">
      <w:pPr>
        <w:rPr>
          <w:b/>
          <w:color w:val="000000" w:themeColor="text1"/>
        </w:rPr>
      </w:pPr>
      <w:r>
        <w:rPr>
          <w:b/>
          <w:color w:val="000000" w:themeColor="text1"/>
        </w:rPr>
        <w:t>FFY 2021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073BD7" w:rsidRPr="00781112" w14:paraId="3BAF6B00" w14:textId="77777777" w:rsidTr="0047313F">
        <w:trPr>
          <w:tblHeader/>
        </w:trPr>
        <w:tc>
          <w:tcPr>
            <w:tcW w:w="355" w:type="pct"/>
            <w:shd w:val="clear" w:color="auto" w:fill="auto"/>
            <w:vAlign w:val="bottom"/>
          </w:tcPr>
          <w:p w14:paraId="3F94C694" w14:textId="77777777" w:rsidR="00073BD7" w:rsidRPr="00781112" w:rsidRDefault="00073BD7" w:rsidP="00073BD7">
            <w:pPr>
              <w:jc w:val="center"/>
              <w:rPr>
                <w:b/>
                <w:color w:val="000000" w:themeColor="text1"/>
              </w:rPr>
            </w:pPr>
            <w:r w:rsidRPr="00781112">
              <w:rPr>
                <w:b/>
                <w:color w:val="000000" w:themeColor="text1"/>
              </w:rPr>
              <w:t>Group</w:t>
            </w:r>
          </w:p>
        </w:tc>
        <w:tc>
          <w:tcPr>
            <w:tcW w:w="475" w:type="pct"/>
            <w:shd w:val="clear" w:color="auto" w:fill="auto"/>
            <w:vAlign w:val="bottom"/>
          </w:tcPr>
          <w:p w14:paraId="4992F96D" w14:textId="77777777" w:rsidR="00073BD7" w:rsidRPr="00781112" w:rsidRDefault="00073BD7" w:rsidP="00073BD7">
            <w:pPr>
              <w:jc w:val="center"/>
              <w:rPr>
                <w:b/>
                <w:color w:val="000000" w:themeColor="text1"/>
              </w:rPr>
            </w:pPr>
            <w:r w:rsidRPr="00781112">
              <w:rPr>
                <w:b/>
                <w:color w:val="000000" w:themeColor="text1"/>
              </w:rPr>
              <w:t>Group Name</w:t>
            </w:r>
          </w:p>
        </w:tc>
        <w:tc>
          <w:tcPr>
            <w:tcW w:w="918" w:type="pct"/>
            <w:shd w:val="clear" w:color="auto" w:fill="auto"/>
            <w:vAlign w:val="bottom"/>
          </w:tcPr>
          <w:p w14:paraId="2677A663" w14:textId="57D25781" w:rsidR="00073BD7" w:rsidRPr="00781112" w:rsidRDefault="00073BD7" w:rsidP="00073BD7">
            <w:pPr>
              <w:jc w:val="center"/>
              <w:rPr>
                <w:b/>
                <w:color w:val="000000" w:themeColor="text1"/>
              </w:rPr>
            </w:pPr>
            <w:r w:rsidRPr="00781112">
              <w:rPr>
                <w:b/>
                <w:color w:val="000000" w:themeColor="text1"/>
              </w:rPr>
              <w:t>Number of Children with IEPs Participating</w:t>
            </w:r>
          </w:p>
        </w:tc>
        <w:tc>
          <w:tcPr>
            <w:tcW w:w="918" w:type="pct"/>
            <w:shd w:val="clear" w:color="auto" w:fill="auto"/>
            <w:vAlign w:val="bottom"/>
          </w:tcPr>
          <w:p w14:paraId="5736EAFF" w14:textId="26F0F47E" w:rsidR="00073BD7" w:rsidRPr="00781112" w:rsidRDefault="00073BD7" w:rsidP="00073BD7">
            <w:pPr>
              <w:jc w:val="center"/>
              <w:rPr>
                <w:b/>
                <w:color w:val="000000" w:themeColor="text1"/>
              </w:rPr>
            </w:pPr>
            <w:r w:rsidRPr="00781112">
              <w:rPr>
                <w:b/>
                <w:color w:val="000000" w:themeColor="text1"/>
              </w:rPr>
              <w:t>Number of Children with IEPs</w:t>
            </w:r>
          </w:p>
        </w:tc>
        <w:tc>
          <w:tcPr>
            <w:tcW w:w="466" w:type="pct"/>
            <w:shd w:val="clear" w:color="auto" w:fill="auto"/>
            <w:vAlign w:val="bottom"/>
          </w:tcPr>
          <w:p w14:paraId="70E219F7" w14:textId="41B163B4" w:rsidR="00073BD7" w:rsidRPr="00781112" w:rsidRDefault="00073BD7" w:rsidP="00073BD7">
            <w:pPr>
              <w:jc w:val="center"/>
              <w:rPr>
                <w:b/>
                <w:color w:val="000000" w:themeColor="text1"/>
              </w:rPr>
            </w:pPr>
            <w:r w:rsidRPr="00073BD7">
              <w:rPr>
                <w:b/>
                <w:bCs/>
              </w:rPr>
              <w:t>FFY 2020 Data</w:t>
            </w:r>
          </w:p>
        </w:tc>
        <w:tc>
          <w:tcPr>
            <w:tcW w:w="467" w:type="pct"/>
            <w:shd w:val="clear" w:color="auto" w:fill="auto"/>
            <w:vAlign w:val="bottom"/>
          </w:tcPr>
          <w:p w14:paraId="2D0B1710" w14:textId="4D4AD625" w:rsidR="00073BD7" w:rsidRPr="00781112" w:rsidRDefault="00073BD7" w:rsidP="00073BD7">
            <w:pPr>
              <w:jc w:val="center"/>
              <w:rPr>
                <w:b/>
                <w:color w:val="000000" w:themeColor="text1"/>
              </w:rPr>
            </w:pPr>
            <w:r w:rsidRPr="00073BD7">
              <w:rPr>
                <w:b/>
                <w:bCs/>
              </w:rPr>
              <w:t>FFY 2021 Target</w:t>
            </w:r>
          </w:p>
        </w:tc>
        <w:tc>
          <w:tcPr>
            <w:tcW w:w="467" w:type="pct"/>
            <w:shd w:val="clear" w:color="auto" w:fill="auto"/>
            <w:vAlign w:val="bottom"/>
          </w:tcPr>
          <w:p w14:paraId="1D807DE2" w14:textId="4B06168B" w:rsidR="00073BD7" w:rsidRPr="00781112" w:rsidRDefault="00073BD7" w:rsidP="00073BD7">
            <w:pPr>
              <w:jc w:val="center"/>
              <w:rPr>
                <w:b/>
                <w:color w:val="000000" w:themeColor="text1"/>
              </w:rPr>
            </w:pPr>
            <w:r w:rsidRPr="00073BD7">
              <w:rPr>
                <w:b/>
                <w:bCs/>
              </w:rPr>
              <w:t>FFY 2021 Data</w:t>
            </w:r>
          </w:p>
        </w:tc>
        <w:tc>
          <w:tcPr>
            <w:tcW w:w="467" w:type="pct"/>
            <w:shd w:val="clear" w:color="auto" w:fill="auto"/>
            <w:vAlign w:val="bottom"/>
          </w:tcPr>
          <w:p w14:paraId="6569FC00" w14:textId="77777777" w:rsidR="00073BD7" w:rsidRPr="00781112" w:rsidRDefault="00073BD7" w:rsidP="00073BD7">
            <w:pPr>
              <w:jc w:val="center"/>
              <w:rPr>
                <w:b/>
                <w:color w:val="000000" w:themeColor="text1"/>
              </w:rPr>
            </w:pPr>
            <w:r w:rsidRPr="00781112">
              <w:rPr>
                <w:b/>
                <w:color w:val="000000" w:themeColor="text1"/>
              </w:rPr>
              <w:t>Status</w:t>
            </w:r>
          </w:p>
        </w:tc>
        <w:tc>
          <w:tcPr>
            <w:tcW w:w="466" w:type="pct"/>
            <w:shd w:val="clear" w:color="auto" w:fill="auto"/>
            <w:vAlign w:val="bottom"/>
          </w:tcPr>
          <w:p w14:paraId="2DF56EFB" w14:textId="77777777" w:rsidR="00073BD7" w:rsidRPr="00781112" w:rsidRDefault="00073BD7" w:rsidP="00073BD7">
            <w:pPr>
              <w:jc w:val="center"/>
              <w:rPr>
                <w:b/>
                <w:color w:val="000000" w:themeColor="text1"/>
              </w:rPr>
            </w:pPr>
            <w:r w:rsidRPr="00781112">
              <w:rPr>
                <w:b/>
                <w:color w:val="000000" w:themeColor="text1"/>
              </w:rPr>
              <w:t>Slippage</w:t>
            </w:r>
          </w:p>
        </w:tc>
      </w:tr>
      <w:tr w:rsidR="00396BA3" w:rsidRPr="00781112" w14:paraId="376FC28A" w14:textId="77777777" w:rsidTr="0047313F">
        <w:tc>
          <w:tcPr>
            <w:tcW w:w="355" w:type="pct"/>
            <w:shd w:val="clear" w:color="auto" w:fill="auto"/>
            <w:vAlign w:val="center"/>
          </w:tcPr>
          <w:p w14:paraId="53A8B458"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shd w:val="clear" w:color="auto" w:fill="auto"/>
            <w:vAlign w:val="center"/>
          </w:tcPr>
          <w:p w14:paraId="0A1B698A" w14:textId="5AC0676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8AC973E" w14:textId="3ED347A2" w:rsidR="00892DD7" w:rsidRPr="00781112" w:rsidRDefault="00892DD7" w:rsidP="00892DD7">
            <w:pPr>
              <w:jc w:val="center"/>
              <w:rPr>
                <w:rFonts w:cs="Arial"/>
                <w:color w:val="000000" w:themeColor="text1"/>
                <w:szCs w:val="16"/>
              </w:rPr>
            </w:pPr>
            <w:r w:rsidRPr="00781112">
              <w:rPr>
                <w:rFonts w:cs="Arial"/>
                <w:color w:val="000000"/>
                <w:szCs w:val="16"/>
              </w:rPr>
              <w:t>9,800</w:t>
            </w:r>
          </w:p>
        </w:tc>
        <w:tc>
          <w:tcPr>
            <w:tcW w:w="918" w:type="pct"/>
            <w:shd w:val="clear" w:color="auto" w:fill="auto"/>
            <w:vAlign w:val="center"/>
          </w:tcPr>
          <w:p w14:paraId="703303A1" w14:textId="4183E48D" w:rsidR="00892DD7" w:rsidRPr="00781112" w:rsidRDefault="00892DD7" w:rsidP="00892DD7">
            <w:pPr>
              <w:jc w:val="center"/>
              <w:rPr>
                <w:rFonts w:cs="Arial"/>
                <w:color w:val="000000" w:themeColor="text1"/>
                <w:szCs w:val="16"/>
              </w:rPr>
            </w:pPr>
            <w:r w:rsidRPr="00781112">
              <w:rPr>
                <w:rFonts w:cs="Arial"/>
                <w:color w:val="000000" w:themeColor="text1"/>
                <w:szCs w:val="16"/>
              </w:rPr>
              <w:t>9,913</w:t>
            </w:r>
          </w:p>
        </w:tc>
        <w:tc>
          <w:tcPr>
            <w:tcW w:w="466" w:type="pct"/>
            <w:shd w:val="clear" w:color="auto" w:fill="auto"/>
            <w:vAlign w:val="center"/>
          </w:tcPr>
          <w:p w14:paraId="701F3D15" w14:textId="6F1538C4" w:rsidR="00892DD7" w:rsidRPr="00781112" w:rsidRDefault="00892DD7" w:rsidP="00892DD7">
            <w:pPr>
              <w:jc w:val="center"/>
              <w:rPr>
                <w:rFonts w:cs="Arial"/>
                <w:color w:val="000000" w:themeColor="text1"/>
                <w:szCs w:val="16"/>
              </w:rPr>
            </w:pPr>
            <w:r w:rsidRPr="00781112">
              <w:rPr>
                <w:rFonts w:cs="Arial"/>
                <w:color w:val="000000" w:themeColor="text1"/>
                <w:szCs w:val="16"/>
              </w:rPr>
              <w:t>92.18%</w:t>
            </w:r>
          </w:p>
        </w:tc>
        <w:tc>
          <w:tcPr>
            <w:tcW w:w="467" w:type="pct"/>
            <w:shd w:val="clear" w:color="auto" w:fill="auto"/>
            <w:vAlign w:val="center"/>
          </w:tcPr>
          <w:p w14:paraId="797749BC" w14:textId="696E92A3"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70549BEB" w14:textId="587EEF17" w:rsidR="00892DD7" w:rsidRPr="00781112" w:rsidRDefault="00892DD7" w:rsidP="00892DD7">
            <w:pPr>
              <w:jc w:val="center"/>
              <w:rPr>
                <w:rFonts w:cs="Arial"/>
                <w:color w:val="000000" w:themeColor="text1"/>
                <w:szCs w:val="16"/>
              </w:rPr>
            </w:pPr>
            <w:r w:rsidRPr="00781112">
              <w:rPr>
                <w:rFonts w:cs="Arial"/>
                <w:color w:val="000000" w:themeColor="text1"/>
                <w:szCs w:val="16"/>
              </w:rPr>
              <w:t>98.86%</w:t>
            </w:r>
          </w:p>
        </w:tc>
        <w:tc>
          <w:tcPr>
            <w:tcW w:w="467" w:type="pct"/>
            <w:shd w:val="clear" w:color="auto" w:fill="auto"/>
            <w:vAlign w:val="center"/>
          </w:tcPr>
          <w:p w14:paraId="78EE727D" w14:textId="62F0BE75"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shd w:val="clear" w:color="auto" w:fill="auto"/>
            <w:vAlign w:val="center"/>
          </w:tcPr>
          <w:p w14:paraId="6EAB29CE" w14:textId="27C0C9B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56F1A9B2" w14:textId="77777777" w:rsidTr="0047313F">
        <w:tc>
          <w:tcPr>
            <w:tcW w:w="355" w:type="pct"/>
            <w:shd w:val="clear" w:color="auto" w:fill="auto"/>
            <w:vAlign w:val="center"/>
          </w:tcPr>
          <w:p w14:paraId="558707F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shd w:val="clear" w:color="auto" w:fill="auto"/>
            <w:vAlign w:val="center"/>
          </w:tcPr>
          <w:p w14:paraId="384974C9" w14:textId="0A4570C5"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751205A1" w14:textId="2503E0F4" w:rsidR="00892DD7" w:rsidRPr="00781112" w:rsidRDefault="00892DD7" w:rsidP="00892DD7">
            <w:pPr>
              <w:jc w:val="center"/>
              <w:rPr>
                <w:rFonts w:cs="Arial"/>
                <w:color w:val="000000" w:themeColor="text1"/>
                <w:szCs w:val="16"/>
              </w:rPr>
            </w:pPr>
            <w:r w:rsidRPr="00781112">
              <w:rPr>
                <w:rFonts w:cs="Arial"/>
                <w:color w:val="000000"/>
                <w:szCs w:val="16"/>
              </w:rPr>
              <w:t>8,909</w:t>
            </w:r>
          </w:p>
        </w:tc>
        <w:tc>
          <w:tcPr>
            <w:tcW w:w="918" w:type="pct"/>
            <w:shd w:val="clear" w:color="auto" w:fill="auto"/>
            <w:vAlign w:val="center"/>
          </w:tcPr>
          <w:p w14:paraId="4F6EDDAF" w14:textId="20D9AAA3" w:rsidR="00892DD7" w:rsidRPr="00781112" w:rsidRDefault="00892DD7" w:rsidP="00892DD7">
            <w:pPr>
              <w:jc w:val="center"/>
              <w:rPr>
                <w:rFonts w:cs="Arial"/>
                <w:color w:val="000000" w:themeColor="text1"/>
                <w:szCs w:val="16"/>
              </w:rPr>
            </w:pPr>
            <w:r w:rsidRPr="00781112">
              <w:rPr>
                <w:rFonts w:cs="Arial"/>
                <w:color w:val="000000" w:themeColor="text1"/>
                <w:szCs w:val="16"/>
              </w:rPr>
              <w:t>9,206</w:t>
            </w:r>
          </w:p>
        </w:tc>
        <w:tc>
          <w:tcPr>
            <w:tcW w:w="466" w:type="pct"/>
            <w:shd w:val="clear" w:color="auto" w:fill="auto"/>
            <w:vAlign w:val="center"/>
          </w:tcPr>
          <w:p w14:paraId="6B3B6780" w14:textId="51308AEA" w:rsidR="00892DD7" w:rsidRPr="00781112" w:rsidRDefault="00892DD7" w:rsidP="00892DD7">
            <w:pPr>
              <w:jc w:val="center"/>
              <w:rPr>
                <w:rFonts w:cs="Arial"/>
                <w:color w:val="000000" w:themeColor="text1"/>
                <w:szCs w:val="16"/>
              </w:rPr>
            </w:pPr>
            <w:r w:rsidRPr="00781112">
              <w:rPr>
                <w:rFonts w:cs="Arial"/>
                <w:color w:val="000000" w:themeColor="text1"/>
                <w:szCs w:val="16"/>
              </w:rPr>
              <w:t>88.50%</w:t>
            </w:r>
          </w:p>
        </w:tc>
        <w:tc>
          <w:tcPr>
            <w:tcW w:w="467" w:type="pct"/>
            <w:shd w:val="clear" w:color="auto" w:fill="auto"/>
            <w:vAlign w:val="center"/>
          </w:tcPr>
          <w:p w14:paraId="60FE8D0A" w14:textId="26748E4B"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20759612" w14:textId="360FBC9D" w:rsidR="00892DD7" w:rsidRPr="00781112" w:rsidRDefault="00892DD7" w:rsidP="00892DD7">
            <w:pPr>
              <w:jc w:val="center"/>
              <w:rPr>
                <w:rFonts w:cs="Arial"/>
                <w:color w:val="000000" w:themeColor="text1"/>
                <w:szCs w:val="16"/>
              </w:rPr>
            </w:pPr>
            <w:r w:rsidRPr="00781112">
              <w:rPr>
                <w:rFonts w:cs="Arial"/>
                <w:color w:val="000000" w:themeColor="text1"/>
                <w:szCs w:val="16"/>
              </w:rPr>
              <w:t>96.77%</w:t>
            </w:r>
          </w:p>
        </w:tc>
        <w:tc>
          <w:tcPr>
            <w:tcW w:w="467" w:type="pct"/>
            <w:shd w:val="clear" w:color="auto" w:fill="auto"/>
            <w:vAlign w:val="center"/>
          </w:tcPr>
          <w:p w14:paraId="5A0AF76C" w14:textId="316463B4"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shd w:val="clear" w:color="auto" w:fill="auto"/>
            <w:vAlign w:val="center"/>
          </w:tcPr>
          <w:p w14:paraId="71C2BDA0" w14:textId="22F354AD"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7455692E" w14:textId="77777777" w:rsidTr="0047313F">
        <w:tc>
          <w:tcPr>
            <w:tcW w:w="355" w:type="pct"/>
            <w:shd w:val="clear" w:color="auto" w:fill="auto"/>
            <w:vAlign w:val="center"/>
          </w:tcPr>
          <w:p w14:paraId="1007F433"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C</w:t>
            </w:r>
          </w:p>
        </w:tc>
        <w:tc>
          <w:tcPr>
            <w:tcW w:w="475" w:type="pct"/>
            <w:shd w:val="clear" w:color="auto" w:fill="auto"/>
            <w:vAlign w:val="center"/>
          </w:tcPr>
          <w:p w14:paraId="1C2FF689" w14:textId="7B5617BF"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7711AD79" w14:textId="30D9E4B6" w:rsidR="00892DD7" w:rsidRPr="00781112" w:rsidRDefault="00892DD7" w:rsidP="00892DD7">
            <w:pPr>
              <w:jc w:val="center"/>
              <w:rPr>
                <w:rFonts w:cs="Arial"/>
                <w:color w:val="000000" w:themeColor="text1"/>
                <w:szCs w:val="16"/>
              </w:rPr>
            </w:pPr>
            <w:r w:rsidRPr="00781112">
              <w:rPr>
                <w:rFonts w:cs="Arial"/>
                <w:color w:val="000000"/>
                <w:szCs w:val="16"/>
              </w:rPr>
              <w:t>6,668</w:t>
            </w:r>
          </w:p>
        </w:tc>
        <w:tc>
          <w:tcPr>
            <w:tcW w:w="918" w:type="pct"/>
            <w:shd w:val="clear" w:color="auto" w:fill="auto"/>
            <w:vAlign w:val="center"/>
          </w:tcPr>
          <w:p w14:paraId="7C38F4A3" w14:textId="3227EA5E" w:rsidR="00892DD7" w:rsidRPr="00781112" w:rsidRDefault="00892DD7" w:rsidP="00892DD7">
            <w:pPr>
              <w:jc w:val="center"/>
              <w:rPr>
                <w:rFonts w:cs="Arial"/>
                <w:color w:val="000000" w:themeColor="text1"/>
                <w:szCs w:val="16"/>
              </w:rPr>
            </w:pPr>
            <w:r w:rsidRPr="00781112">
              <w:rPr>
                <w:rFonts w:cs="Arial"/>
                <w:color w:val="000000" w:themeColor="text1"/>
                <w:szCs w:val="16"/>
              </w:rPr>
              <w:t>7,111</w:t>
            </w:r>
          </w:p>
        </w:tc>
        <w:tc>
          <w:tcPr>
            <w:tcW w:w="466" w:type="pct"/>
            <w:shd w:val="clear" w:color="auto" w:fill="auto"/>
            <w:vAlign w:val="center"/>
          </w:tcPr>
          <w:p w14:paraId="300E10D2" w14:textId="5FE5073B" w:rsidR="00892DD7" w:rsidRPr="00781112" w:rsidRDefault="00892DD7" w:rsidP="00892DD7">
            <w:pPr>
              <w:jc w:val="center"/>
              <w:rPr>
                <w:rFonts w:cs="Arial"/>
                <w:color w:val="000000" w:themeColor="text1"/>
                <w:szCs w:val="16"/>
              </w:rPr>
            </w:pPr>
            <w:r w:rsidRPr="00781112">
              <w:rPr>
                <w:rFonts w:cs="Arial"/>
                <w:color w:val="000000" w:themeColor="text1"/>
                <w:szCs w:val="16"/>
              </w:rPr>
              <w:t>82.04%</w:t>
            </w:r>
          </w:p>
        </w:tc>
        <w:tc>
          <w:tcPr>
            <w:tcW w:w="467" w:type="pct"/>
            <w:shd w:val="clear" w:color="auto" w:fill="auto"/>
            <w:vAlign w:val="center"/>
          </w:tcPr>
          <w:p w14:paraId="26A808A8" w14:textId="46CE5D7C"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1760C9A2" w14:textId="77DCB745" w:rsidR="00892DD7" w:rsidRPr="00781112" w:rsidRDefault="00892DD7" w:rsidP="00892DD7">
            <w:pPr>
              <w:jc w:val="center"/>
              <w:rPr>
                <w:rFonts w:cs="Arial"/>
                <w:color w:val="000000" w:themeColor="text1"/>
                <w:szCs w:val="16"/>
              </w:rPr>
            </w:pPr>
            <w:r w:rsidRPr="00781112">
              <w:rPr>
                <w:rFonts w:cs="Arial"/>
                <w:color w:val="000000" w:themeColor="text1"/>
                <w:szCs w:val="16"/>
              </w:rPr>
              <w:t>93.77%</w:t>
            </w:r>
          </w:p>
        </w:tc>
        <w:tc>
          <w:tcPr>
            <w:tcW w:w="467" w:type="pct"/>
            <w:shd w:val="clear" w:color="auto" w:fill="auto"/>
            <w:vAlign w:val="center"/>
          </w:tcPr>
          <w:p w14:paraId="772412F5" w14:textId="7F0E1366"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3DF8294E" w14:textId="7BA8B5E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bl>
    <w:p w14:paraId="6C09A01C" w14:textId="77777777" w:rsidR="007765EF" w:rsidRDefault="007765EF" w:rsidP="00802A46">
      <w:pPr>
        <w:rPr>
          <w:b/>
          <w:color w:val="000000" w:themeColor="text1"/>
        </w:rPr>
      </w:pPr>
    </w:p>
    <w:p w14:paraId="4A8694DE" w14:textId="77777777" w:rsidR="007765EF" w:rsidRDefault="007765EF" w:rsidP="00802A46">
      <w:pPr>
        <w:rPr>
          <w:b/>
          <w:color w:val="000000" w:themeColor="text1"/>
        </w:rPr>
      </w:pPr>
    </w:p>
    <w:p w14:paraId="1C3A5E7E" w14:textId="77777777" w:rsidR="007765EF" w:rsidRDefault="007765EF" w:rsidP="00802A46">
      <w:pPr>
        <w:rPr>
          <w:b/>
          <w:color w:val="000000" w:themeColor="text1"/>
        </w:rPr>
      </w:pPr>
    </w:p>
    <w:p w14:paraId="4D76CCAA" w14:textId="77777777" w:rsidR="007A7E93" w:rsidRPr="00781112" w:rsidRDefault="007A7E93">
      <w:pPr>
        <w:spacing w:before="0" w:after="200" w:line="276" w:lineRule="auto"/>
        <w:rPr>
          <w:b/>
          <w:color w:val="000000" w:themeColor="text1"/>
        </w:rPr>
      </w:pPr>
    </w:p>
    <w:p w14:paraId="68F24FCA" w14:textId="439BA8D0" w:rsidR="00F17D5E" w:rsidRPr="00781112" w:rsidRDefault="0047313F" w:rsidP="00F17D5E">
      <w:pPr>
        <w:rPr>
          <w:b/>
          <w:color w:val="000000" w:themeColor="text1"/>
        </w:rPr>
      </w:pPr>
      <w:r>
        <w:rPr>
          <w:b/>
          <w:color w:val="000000" w:themeColor="text1"/>
        </w:rPr>
        <w:t>FFY 2021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47313F" w:rsidRPr="00781112" w14:paraId="681A67CD" w14:textId="77777777" w:rsidTr="00360DD6">
        <w:trPr>
          <w:tblHeader/>
        </w:trPr>
        <w:tc>
          <w:tcPr>
            <w:tcW w:w="331" w:type="pct"/>
            <w:shd w:val="clear" w:color="auto" w:fill="auto"/>
            <w:vAlign w:val="bottom"/>
          </w:tcPr>
          <w:p w14:paraId="32EBDF09" w14:textId="77777777" w:rsidR="0047313F" w:rsidRPr="00781112" w:rsidRDefault="0047313F" w:rsidP="0047313F">
            <w:pPr>
              <w:jc w:val="center"/>
              <w:rPr>
                <w:b/>
                <w:color w:val="000000" w:themeColor="text1"/>
              </w:rPr>
            </w:pPr>
            <w:r w:rsidRPr="00781112">
              <w:rPr>
                <w:b/>
                <w:color w:val="000000" w:themeColor="text1"/>
              </w:rPr>
              <w:t>Group</w:t>
            </w:r>
          </w:p>
        </w:tc>
        <w:tc>
          <w:tcPr>
            <w:tcW w:w="500" w:type="pct"/>
            <w:shd w:val="clear" w:color="auto" w:fill="auto"/>
            <w:vAlign w:val="bottom"/>
          </w:tcPr>
          <w:p w14:paraId="1DD83044" w14:textId="77777777" w:rsidR="0047313F" w:rsidRPr="00781112" w:rsidRDefault="0047313F" w:rsidP="0047313F">
            <w:pPr>
              <w:jc w:val="center"/>
              <w:rPr>
                <w:b/>
                <w:color w:val="000000" w:themeColor="text1"/>
              </w:rPr>
            </w:pPr>
            <w:r w:rsidRPr="00781112">
              <w:rPr>
                <w:b/>
                <w:color w:val="000000" w:themeColor="text1"/>
              </w:rPr>
              <w:t>Group Name</w:t>
            </w:r>
          </w:p>
        </w:tc>
        <w:tc>
          <w:tcPr>
            <w:tcW w:w="918" w:type="pct"/>
            <w:shd w:val="clear" w:color="auto" w:fill="auto"/>
            <w:vAlign w:val="bottom"/>
          </w:tcPr>
          <w:p w14:paraId="09C06BEF" w14:textId="77777777" w:rsidR="0047313F" w:rsidRPr="00781112" w:rsidRDefault="0047313F" w:rsidP="0047313F">
            <w:pPr>
              <w:jc w:val="center"/>
              <w:rPr>
                <w:b/>
                <w:color w:val="000000" w:themeColor="text1"/>
              </w:rPr>
            </w:pPr>
            <w:r w:rsidRPr="00781112">
              <w:rPr>
                <w:b/>
                <w:color w:val="000000" w:themeColor="text1"/>
              </w:rPr>
              <w:t>Number of Children with IEPs Participating</w:t>
            </w:r>
          </w:p>
        </w:tc>
        <w:tc>
          <w:tcPr>
            <w:tcW w:w="908" w:type="pct"/>
            <w:shd w:val="clear" w:color="auto" w:fill="auto"/>
            <w:vAlign w:val="bottom"/>
          </w:tcPr>
          <w:p w14:paraId="35F97163" w14:textId="77777777" w:rsidR="0047313F" w:rsidRPr="00781112" w:rsidRDefault="0047313F" w:rsidP="0047313F">
            <w:pPr>
              <w:jc w:val="center"/>
              <w:rPr>
                <w:b/>
                <w:color w:val="000000" w:themeColor="text1"/>
              </w:rPr>
            </w:pPr>
            <w:r w:rsidRPr="00781112">
              <w:rPr>
                <w:b/>
                <w:color w:val="000000" w:themeColor="text1"/>
              </w:rPr>
              <w:t>Number of Children with IEPs</w:t>
            </w:r>
          </w:p>
        </w:tc>
        <w:tc>
          <w:tcPr>
            <w:tcW w:w="468" w:type="pct"/>
            <w:shd w:val="clear" w:color="auto" w:fill="auto"/>
            <w:vAlign w:val="bottom"/>
          </w:tcPr>
          <w:p w14:paraId="3D7FBA55" w14:textId="45A816FE" w:rsidR="0047313F" w:rsidRPr="00073BD7" w:rsidRDefault="0047313F" w:rsidP="0047313F">
            <w:pPr>
              <w:jc w:val="center"/>
              <w:rPr>
                <w:b/>
                <w:bCs/>
                <w:color w:val="000000" w:themeColor="text1"/>
              </w:rPr>
            </w:pPr>
            <w:r w:rsidRPr="00073BD7">
              <w:rPr>
                <w:b/>
                <w:bCs/>
              </w:rPr>
              <w:t>FFY 2020 Data</w:t>
            </w:r>
          </w:p>
        </w:tc>
        <w:tc>
          <w:tcPr>
            <w:tcW w:w="468" w:type="pct"/>
            <w:shd w:val="clear" w:color="auto" w:fill="auto"/>
            <w:vAlign w:val="bottom"/>
          </w:tcPr>
          <w:p w14:paraId="681C20C6" w14:textId="5C86E989" w:rsidR="0047313F" w:rsidRPr="00073BD7" w:rsidRDefault="0047313F" w:rsidP="0047313F">
            <w:pPr>
              <w:jc w:val="center"/>
              <w:rPr>
                <w:b/>
                <w:bCs/>
                <w:color w:val="000000" w:themeColor="text1"/>
              </w:rPr>
            </w:pPr>
            <w:r w:rsidRPr="00073BD7">
              <w:rPr>
                <w:b/>
                <w:bCs/>
              </w:rPr>
              <w:t>FFY 2021 Target</w:t>
            </w:r>
          </w:p>
        </w:tc>
        <w:tc>
          <w:tcPr>
            <w:tcW w:w="468" w:type="pct"/>
            <w:shd w:val="clear" w:color="auto" w:fill="auto"/>
            <w:vAlign w:val="bottom"/>
          </w:tcPr>
          <w:p w14:paraId="1A223A3A" w14:textId="3EBA0FC0" w:rsidR="0047313F" w:rsidRPr="00073BD7" w:rsidRDefault="0047313F" w:rsidP="0047313F">
            <w:pPr>
              <w:jc w:val="center"/>
              <w:rPr>
                <w:b/>
                <w:bCs/>
                <w:color w:val="000000" w:themeColor="text1"/>
              </w:rPr>
            </w:pPr>
            <w:r w:rsidRPr="00073BD7">
              <w:rPr>
                <w:b/>
                <w:bCs/>
              </w:rPr>
              <w:t>FFY 2021 Data</w:t>
            </w:r>
          </w:p>
        </w:tc>
        <w:tc>
          <w:tcPr>
            <w:tcW w:w="468" w:type="pct"/>
            <w:shd w:val="clear" w:color="auto" w:fill="auto"/>
            <w:vAlign w:val="bottom"/>
          </w:tcPr>
          <w:p w14:paraId="2E2084EF" w14:textId="77777777" w:rsidR="0047313F" w:rsidRPr="00781112" w:rsidRDefault="0047313F" w:rsidP="0047313F">
            <w:pPr>
              <w:jc w:val="center"/>
              <w:rPr>
                <w:b/>
                <w:color w:val="000000" w:themeColor="text1"/>
              </w:rPr>
            </w:pPr>
            <w:r w:rsidRPr="00781112">
              <w:rPr>
                <w:b/>
                <w:color w:val="000000" w:themeColor="text1"/>
              </w:rPr>
              <w:t>Status</w:t>
            </w:r>
          </w:p>
        </w:tc>
        <w:tc>
          <w:tcPr>
            <w:tcW w:w="469" w:type="pct"/>
            <w:shd w:val="clear" w:color="auto" w:fill="auto"/>
            <w:vAlign w:val="bottom"/>
          </w:tcPr>
          <w:p w14:paraId="309891B4" w14:textId="77777777" w:rsidR="0047313F" w:rsidRPr="00781112" w:rsidRDefault="0047313F" w:rsidP="0047313F">
            <w:pPr>
              <w:jc w:val="center"/>
              <w:rPr>
                <w:b/>
                <w:color w:val="000000" w:themeColor="text1"/>
              </w:rPr>
            </w:pPr>
            <w:r w:rsidRPr="00781112">
              <w:rPr>
                <w:b/>
                <w:color w:val="000000" w:themeColor="text1"/>
              </w:rPr>
              <w:t>Slippage</w:t>
            </w:r>
          </w:p>
        </w:tc>
      </w:tr>
      <w:tr w:rsidR="00396BA3" w:rsidRPr="00781112" w14:paraId="1BDE8C09" w14:textId="77777777" w:rsidTr="00396BA3">
        <w:tc>
          <w:tcPr>
            <w:tcW w:w="331" w:type="pct"/>
            <w:shd w:val="clear" w:color="auto" w:fill="auto"/>
            <w:vAlign w:val="center"/>
          </w:tcPr>
          <w:p w14:paraId="580D1344"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shd w:val="clear" w:color="auto" w:fill="auto"/>
            <w:vAlign w:val="center"/>
          </w:tcPr>
          <w:p w14:paraId="08A8F1D8" w14:textId="4D1DB180"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452B2A6" w14:textId="0D3478E5" w:rsidR="002C43CF" w:rsidRPr="00781112" w:rsidRDefault="002C43CF" w:rsidP="002C43CF">
            <w:pPr>
              <w:jc w:val="center"/>
              <w:rPr>
                <w:rFonts w:cs="Arial"/>
                <w:color w:val="000000" w:themeColor="text1"/>
                <w:szCs w:val="16"/>
              </w:rPr>
            </w:pPr>
            <w:r w:rsidRPr="00781112">
              <w:rPr>
                <w:rFonts w:cs="Arial"/>
                <w:color w:val="000000"/>
                <w:szCs w:val="16"/>
              </w:rPr>
              <w:t>9,791</w:t>
            </w:r>
          </w:p>
        </w:tc>
        <w:tc>
          <w:tcPr>
            <w:tcW w:w="908" w:type="pct"/>
            <w:shd w:val="clear" w:color="auto" w:fill="auto"/>
            <w:vAlign w:val="center"/>
          </w:tcPr>
          <w:p w14:paraId="039C7994" w14:textId="2644FC1F" w:rsidR="002C43CF" w:rsidRPr="00781112" w:rsidRDefault="002C43CF" w:rsidP="002C43CF">
            <w:pPr>
              <w:jc w:val="center"/>
              <w:rPr>
                <w:rFonts w:cs="Arial"/>
                <w:color w:val="000000" w:themeColor="text1"/>
                <w:szCs w:val="16"/>
              </w:rPr>
            </w:pPr>
            <w:r w:rsidRPr="00781112">
              <w:rPr>
                <w:rFonts w:cs="Arial"/>
                <w:color w:val="000000" w:themeColor="text1"/>
                <w:szCs w:val="16"/>
              </w:rPr>
              <w:t>9,910</w:t>
            </w:r>
          </w:p>
        </w:tc>
        <w:tc>
          <w:tcPr>
            <w:tcW w:w="468" w:type="pct"/>
            <w:shd w:val="clear" w:color="auto" w:fill="auto"/>
            <w:vAlign w:val="center"/>
          </w:tcPr>
          <w:p w14:paraId="24F0CC21" w14:textId="70B062C4" w:rsidR="002C43CF" w:rsidRPr="00781112" w:rsidRDefault="002C43CF" w:rsidP="002C43CF">
            <w:pPr>
              <w:jc w:val="center"/>
              <w:rPr>
                <w:rFonts w:cs="Arial"/>
                <w:color w:val="000000" w:themeColor="text1"/>
                <w:szCs w:val="16"/>
              </w:rPr>
            </w:pPr>
            <w:r w:rsidRPr="00781112">
              <w:rPr>
                <w:rFonts w:cs="Arial"/>
                <w:color w:val="000000" w:themeColor="text1"/>
                <w:szCs w:val="16"/>
              </w:rPr>
              <w:t>92.39%</w:t>
            </w:r>
          </w:p>
        </w:tc>
        <w:tc>
          <w:tcPr>
            <w:tcW w:w="468" w:type="pct"/>
            <w:shd w:val="clear" w:color="auto" w:fill="auto"/>
            <w:vAlign w:val="center"/>
          </w:tcPr>
          <w:p w14:paraId="44D3CBA8" w14:textId="716B803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0C38B251" w14:textId="6362D41B" w:rsidR="002C43CF" w:rsidRPr="00781112" w:rsidRDefault="002C43CF" w:rsidP="002C43CF">
            <w:pPr>
              <w:jc w:val="center"/>
              <w:rPr>
                <w:rFonts w:cs="Arial"/>
                <w:color w:val="000000" w:themeColor="text1"/>
                <w:szCs w:val="16"/>
              </w:rPr>
            </w:pPr>
            <w:r w:rsidRPr="00781112">
              <w:rPr>
                <w:rFonts w:cs="Arial"/>
                <w:color w:val="000000" w:themeColor="text1"/>
                <w:szCs w:val="16"/>
              </w:rPr>
              <w:t>98.80%</w:t>
            </w:r>
          </w:p>
        </w:tc>
        <w:tc>
          <w:tcPr>
            <w:tcW w:w="468" w:type="pct"/>
            <w:shd w:val="clear" w:color="auto" w:fill="auto"/>
            <w:vAlign w:val="center"/>
          </w:tcPr>
          <w:p w14:paraId="761D8F6F" w14:textId="46B9913C"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shd w:val="clear" w:color="auto" w:fill="auto"/>
            <w:vAlign w:val="center"/>
          </w:tcPr>
          <w:p w14:paraId="67149680" w14:textId="213ADF64"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1922D3D8" w14:textId="77777777" w:rsidTr="00396BA3">
        <w:tc>
          <w:tcPr>
            <w:tcW w:w="331" w:type="pct"/>
            <w:shd w:val="clear" w:color="auto" w:fill="auto"/>
            <w:vAlign w:val="center"/>
          </w:tcPr>
          <w:p w14:paraId="43AEFF73"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lastRenderedPageBreak/>
              <w:t>B</w:t>
            </w:r>
          </w:p>
        </w:tc>
        <w:tc>
          <w:tcPr>
            <w:tcW w:w="500" w:type="pct"/>
            <w:shd w:val="clear" w:color="auto" w:fill="auto"/>
            <w:vAlign w:val="center"/>
          </w:tcPr>
          <w:p w14:paraId="2B8AB1E0" w14:textId="3F093CFB"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02D6A2B7" w14:textId="310E9DB8" w:rsidR="002C43CF" w:rsidRPr="00781112" w:rsidRDefault="002C43CF" w:rsidP="002C43CF">
            <w:pPr>
              <w:jc w:val="center"/>
              <w:rPr>
                <w:rFonts w:cs="Arial"/>
                <w:color w:val="000000" w:themeColor="text1"/>
                <w:szCs w:val="16"/>
              </w:rPr>
            </w:pPr>
            <w:r w:rsidRPr="00781112">
              <w:rPr>
                <w:rFonts w:cs="Arial"/>
                <w:color w:val="000000"/>
                <w:szCs w:val="16"/>
              </w:rPr>
              <w:t>8,879</w:t>
            </w:r>
          </w:p>
        </w:tc>
        <w:tc>
          <w:tcPr>
            <w:tcW w:w="908" w:type="pct"/>
            <w:shd w:val="clear" w:color="auto" w:fill="auto"/>
            <w:vAlign w:val="center"/>
          </w:tcPr>
          <w:p w14:paraId="7F2CECC4" w14:textId="3F890748" w:rsidR="002C43CF" w:rsidRPr="00781112" w:rsidRDefault="002C43CF" w:rsidP="002C43CF">
            <w:pPr>
              <w:jc w:val="center"/>
              <w:rPr>
                <w:rFonts w:cs="Arial"/>
                <w:color w:val="000000" w:themeColor="text1"/>
                <w:szCs w:val="16"/>
              </w:rPr>
            </w:pPr>
            <w:r w:rsidRPr="00781112">
              <w:rPr>
                <w:rFonts w:cs="Arial"/>
                <w:color w:val="000000" w:themeColor="text1"/>
                <w:szCs w:val="16"/>
              </w:rPr>
              <w:t>9,208</w:t>
            </w:r>
          </w:p>
        </w:tc>
        <w:tc>
          <w:tcPr>
            <w:tcW w:w="468" w:type="pct"/>
            <w:shd w:val="clear" w:color="auto" w:fill="auto"/>
            <w:vAlign w:val="center"/>
          </w:tcPr>
          <w:p w14:paraId="79841470" w14:textId="267EECAA" w:rsidR="002C43CF" w:rsidRPr="00781112" w:rsidRDefault="002C43CF" w:rsidP="002C43CF">
            <w:pPr>
              <w:jc w:val="center"/>
              <w:rPr>
                <w:rFonts w:cs="Arial"/>
                <w:color w:val="000000" w:themeColor="text1"/>
                <w:szCs w:val="16"/>
              </w:rPr>
            </w:pPr>
            <w:r w:rsidRPr="00781112">
              <w:rPr>
                <w:rFonts w:cs="Arial"/>
                <w:color w:val="000000" w:themeColor="text1"/>
                <w:szCs w:val="16"/>
              </w:rPr>
              <w:t>87.79%</w:t>
            </w:r>
          </w:p>
        </w:tc>
        <w:tc>
          <w:tcPr>
            <w:tcW w:w="468" w:type="pct"/>
            <w:shd w:val="clear" w:color="auto" w:fill="auto"/>
            <w:vAlign w:val="center"/>
          </w:tcPr>
          <w:p w14:paraId="5B10F98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542B9F1" w14:textId="37C83969" w:rsidR="002C43CF" w:rsidRPr="00781112" w:rsidRDefault="002C43CF" w:rsidP="002C43CF">
            <w:pPr>
              <w:jc w:val="center"/>
              <w:rPr>
                <w:rFonts w:cs="Arial"/>
                <w:color w:val="000000" w:themeColor="text1"/>
                <w:szCs w:val="16"/>
              </w:rPr>
            </w:pPr>
            <w:r w:rsidRPr="00781112">
              <w:rPr>
                <w:rFonts w:cs="Arial"/>
                <w:color w:val="000000" w:themeColor="text1"/>
                <w:szCs w:val="16"/>
              </w:rPr>
              <w:t>96.43%</w:t>
            </w:r>
          </w:p>
        </w:tc>
        <w:tc>
          <w:tcPr>
            <w:tcW w:w="468" w:type="pct"/>
            <w:shd w:val="clear" w:color="auto" w:fill="auto"/>
            <w:vAlign w:val="center"/>
          </w:tcPr>
          <w:p w14:paraId="5BE427F8" w14:textId="56EB7A82"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shd w:val="clear" w:color="auto" w:fill="auto"/>
            <w:vAlign w:val="center"/>
          </w:tcPr>
          <w:p w14:paraId="5ADE31A1" w14:textId="6021CBB1"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2E1BAFB0" w14:textId="77777777" w:rsidTr="00396BA3">
        <w:tc>
          <w:tcPr>
            <w:tcW w:w="331" w:type="pct"/>
            <w:shd w:val="clear" w:color="auto" w:fill="auto"/>
            <w:vAlign w:val="center"/>
          </w:tcPr>
          <w:p w14:paraId="6825BD97"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shd w:val="clear" w:color="auto" w:fill="auto"/>
            <w:vAlign w:val="center"/>
          </w:tcPr>
          <w:p w14:paraId="0AE72592" w14:textId="0F597AAE"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6099121A" w14:textId="18C55BFC" w:rsidR="002C43CF" w:rsidRPr="00781112" w:rsidRDefault="002C43CF" w:rsidP="002C43CF">
            <w:pPr>
              <w:jc w:val="center"/>
              <w:rPr>
                <w:rFonts w:cs="Arial"/>
                <w:color w:val="000000" w:themeColor="text1"/>
                <w:szCs w:val="16"/>
              </w:rPr>
            </w:pPr>
            <w:r w:rsidRPr="00781112">
              <w:rPr>
                <w:rFonts w:cs="Arial"/>
                <w:color w:val="000000"/>
                <w:szCs w:val="16"/>
              </w:rPr>
              <w:t>6,677</w:t>
            </w:r>
          </w:p>
        </w:tc>
        <w:tc>
          <w:tcPr>
            <w:tcW w:w="908" w:type="pct"/>
            <w:shd w:val="clear" w:color="auto" w:fill="auto"/>
            <w:vAlign w:val="center"/>
          </w:tcPr>
          <w:p w14:paraId="6B5854E5" w14:textId="06E91CB7" w:rsidR="002C43CF" w:rsidRPr="00781112" w:rsidRDefault="002C43CF" w:rsidP="002C43CF">
            <w:pPr>
              <w:jc w:val="center"/>
              <w:rPr>
                <w:rFonts w:cs="Arial"/>
                <w:color w:val="000000" w:themeColor="text1"/>
                <w:szCs w:val="16"/>
              </w:rPr>
            </w:pPr>
            <w:r w:rsidRPr="00781112">
              <w:rPr>
                <w:rFonts w:cs="Arial"/>
                <w:color w:val="000000" w:themeColor="text1"/>
                <w:szCs w:val="16"/>
              </w:rPr>
              <w:t>7,111</w:t>
            </w:r>
          </w:p>
        </w:tc>
        <w:tc>
          <w:tcPr>
            <w:tcW w:w="468" w:type="pct"/>
            <w:shd w:val="clear" w:color="auto" w:fill="auto"/>
            <w:vAlign w:val="center"/>
          </w:tcPr>
          <w:p w14:paraId="36BDD326" w14:textId="6EBA39BF" w:rsidR="002C43CF" w:rsidRPr="00781112" w:rsidRDefault="002C43CF" w:rsidP="002C43CF">
            <w:pPr>
              <w:jc w:val="center"/>
              <w:rPr>
                <w:rFonts w:cs="Arial"/>
                <w:color w:val="000000" w:themeColor="text1"/>
                <w:szCs w:val="16"/>
              </w:rPr>
            </w:pPr>
            <w:r w:rsidRPr="00781112">
              <w:rPr>
                <w:rFonts w:cs="Arial"/>
                <w:color w:val="000000" w:themeColor="text1"/>
                <w:szCs w:val="16"/>
              </w:rPr>
              <w:t>87.24%</w:t>
            </w:r>
          </w:p>
        </w:tc>
        <w:tc>
          <w:tcPr>
            <w:tcW w:w="468" w:type="pct"/>
            <w:shd w:val="clear" w:color="auto" w:fill="auto"/>
            <w:vAlign w:val="center"/>
          </w:tcPr>
          <w:p w14:paraId="2B5A195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A8A2153" w14:textId="350CE279" w:rsidR="002C43CF" w:rsidRPr="00781112" w:rsidRDefault="002C43CF" w:rsidP="002C43CF">
            <w:pPr>
              <w:jc w:val="center"/>
              <w:rPr>
                <w:rFonts w:cs="Arial"/>
                <w:color w:val="000000" w:themeColor="text1"/>
                <w:szCs w:val="16"/>
              </w:rPr>
            </w:pPr>
            <w:r w:rsidRPr="00781112">
              <w:rPr>
                <w:rFonts w:cs="Arial"/>
                <w:color w:val="000000" w:themeColor="text1"/>
                <w:szCs w:val="16"/>
              </w:rPr>
              <w:t>93.90%</w:t>
            </w:r>
          </w:p>
        </w:tc>
        <w:tc>
          <w:tcPr>
            <w:tcW w:w="468" w:type="pct"/>
            <w:shd w:val="clear" w:color="auto" w:fill="auto"/>
            <w:vAlign w:val="center"/>
          </w:tcPr>
          <w:p w14:paraId="602D5261" w14:textId="54A65BCD"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45BE3C4A" w14:textId="1F06447F"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bl>
    <w:p w14:paraId="0CDF2DF2" w14:textId="7E4745D3" w:rsidR="00F17D5E" w:rsidRPr="00781112" w:rsidRDefault="00F17D5E">
      <w:pPr>
        <w:spacing w:before="0" w:after="200" w:line="276" w:lineRule="auto"/>
        <w:rPr>
          <w:b/>
          <w:color w:val="000000" w:themeColor="text1"/>
        </w:rPr>
      </w:pPr>
    </w:p>
    <w:p w14:paraId="13A59EA6" w14:textId="77777777" w:rsidR="00A134AA" w:rsidRPr="00781112" w:rsidRDefault="00A134AA" w:rsidP="00A134AA">
      <w:pPr>
        <w:rPr>
          <w:color w:val="000000" w:themeColor="text1"/>
        </w:rPr>
      </w:pPr>
      <w:r w:rsidRPr="00781112">
        <w:rPr>
          <w:b/>
          <w:color w:val="000000" w:themeColor="text1"/>
        </w:rPr>
        <w:t>Regulatory Information</w:t>
      </w:r>
    </w:p>
    <w:p w14:paraId="53C4149B"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24575108" w14:textId="77777777" w:rsidR="00A134AA" w:rsidRPr="00781112" w:rsidRDefault="00A134AA" w:rsidP="00A134AA">
      <w:pPr>
        <w:rPr>
          <w:color w:val="000000" w:themeColor="text1"/>
        </w:rPr>
      </w:pPr>
    </w:p>
    <w:p w14:paraId="44CC67C3" w14:textId="77777777" w:rsidR="00A134AA" w:rsidRPr="00781112" w:rsidRDefault="00A134AA" w:rsidP="00A134AA">
      <w:pPr>
        <w:rPr>
          <w:color w:val="000000" w:themeColor="text1"/>
        </w:rPr>
      </w:pPr>
      <w:r w:rsidRPr="00781112">
        <w:rPr>
          <w:b/>
          <w:color w:val="000000" w:themeColor="text1"/>
        </w:rPr>
        <w:t>Public Reporting Information</w:t>
      </w:r>
    </w:p>
    <w:p w14:paraId="70B58518"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7EBFE113" w14:textId="047A82C9" w:rsidR="00A134AA" w:rsidRPr="00781112" w:rsidRDefault="00A134AA" w:rsidP="00A134AA">
      <w:pPr>
        <w:rPr>
          <w:rFonts w:cs="Arial"/>
          <w:color w:val="000000" w:themeColor="text1"/>
          <w:szCs w:val="16"/>
        </w:rPr>
      </w:pPr>
      <w:r w:rsidRPr="00781112">
        <w:rPr>
          <w:rFonts w:cs="Arial"/>
          <w:color w:val="000000" w:themeColor="text1"/>
          <w:szCs w:val="16"/>
        </w:rPr>
        <w:t>https://sde.ok.gov/documents/2012-10-01/special-education-data-and-reporting-part-b-children-ages-3-through-21</w:t>
      </w:r>
    </w:p>
    <w:p w14:paraId="222AA3BE"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58D88404" w14:textId="4712EC2F" w:rsidR="00A134AA" w:rsidRPr="00781112" w:rsidRDefault="00A134AA" w:rsidP="00A134AA">
      <w:pPr>
        <w:rPr>
          <w:rFonts w:cs="Arial"/>
          <w:color w:val="000000" w:themeColor="text1"/>
          <w:szCs w:val="16"/>
        </w:rPr>
      </w:pPr>
    </w:p>
    <w:p w14:paraId="0F4E9E40" w14:textId="77777777" w:rsidR="00B725C2" w:rsidRPr="00781112" w:rsidRDefault="00B725C2">
      <w:pPr>
        <w:spacing w:before="0" w:after="200" w:line="276" w:lineRule="auto"/>
        <w:rPr>
          <w:b/>
          <w:color w:val="000000" w:themeColor="text1"/>
        </w:rPr>
      </w:pPr>
    </w:p>
    <w:p w14:paraId="3BECD360" w14:textId="5C269016" w:rsidR="00361CFA" w:rsidRPr="00781112" w:rsidRDefault="00361CFA" w:rsidP="00361CFA">
      <w:pPr>
        <w:pStyle w:val="Heading2"/>
      </w:pPr>
      <w:r w:rsidRPr="00781112">
        <w:t>3</w:t>
      </w:r>
      <w:r w:rsidR="00DD4E25" w:rsidRPr="00781112">
        <w:t>A</w:t>
      </w:r>
      <w:r w:rsidRPr="00781112">
        <w:t xml:space="preserve"> - Prior FFY Required Actions</w:t>
      </w:r>
    </w:p>
    <w:p w14:paraId="0775D2DC" w14:textId="32AC04CD" w:rsidR="00361CFA" w:rsidRPr="00781112" w:rsidRDefault="00361CFA" w:rsidP="00361CFA">
      <w:pPr>
        <w:rPr>
          <w:rFonts w:cs="Arial"/>
          <w:color w:val="000000" w:themeColor="text1"/>
          <w:szCs w:val="16"/>
        </w:rPr>
      </w:pPr>
      <w:r w:rsidRPr="00781112">
        <w:rPr>
          <w:rFonts w:cs="Arial"/>
          <w:color w:val="000000" w:themeColor="text1"/>
          <w:szCs w:val="16"/>
        </w:rPr>
        <w:t>None</w:t>
      </w:r>
    </w:p>
    <w:p w14:paraId="743B5B9F" w14:textId="1841BC80" w:rsidR="00361CFA" w:rsidRPr="00781112" w:rsidRDefault="00361CFA" w:rsidP="00361CFA">
      <w:pPr>
        <w:pStyle w:val="Heading2"/>
      </w:pPr>
      <w:r w:rsidRPr="00781112">
        <w:t>3</w:t>
      </w:r>
      <w:r w:rsidR="00DD4E25" w:rsidRPr="00781112">
        <w:t>A</w:t>
      </w:r>
      <w:r w:rsidRPr="00781112">
        <w:t xml:space="preserve"> - OSEP Response</w:t>
      </w:r>
    </w:p>
    <w:p w14:paraId="2436D21B" w14:textId="251DD46D" w:rsidR="00361CFA" w:rsidRPr="00781112" w:rsidRDefault="00361CFA" w:rsidP="00361CFA">
      <w:pPr>
        <w:rPr>
          <w:rFonts w:cs="Arial"/>
          <w:color w:val="000000" w:themeColor="text1"/>
          <w:szCs w:val="16"/>
        </w:rPr>
      </w:pPr>
    </w:p>
    <w:p w14:paraId="66272CA6" w14:textId="0C9AB332" w:rsidR="00361CFA" w:rsidRPr="00781112" w:rsidRDefault="00361CFA" w:rsidP="00361CFA">
      <w:pPr>
        <w:pStyle w:val="Heading2"/>
      </w:pPr>
      <w:r w:rsidRPr="00781112">
        <w:t>3</w:t>
      </w:r>
      <w:r w:rsidR="00DD4E25" w:rsidRPr="00781112">
        <w:t>A</w:t>
      </w:r>
      <w:r w:rsidRPr="00781112">
        <w:t xml:space="preserve"> - Required Actions</w:t>
      </w:r>
    </w:p>
    <w:p w14:paraId="07E8CA27" w14:textId="1D50FC01" w:rsidR="00361CFA" w:rsidRPr="00781112" w:rsidRDefault="00361CFA" w:rsidP="00361CFA">
      <w:pPr>
        <w:rPr>
          <w:rFonts w:cs="Arial"/>
          <w:color w:val="000000" w:themeColor="text1"/>
          <w:szCs w:val="16"/>
        </w:rPr>
      </w:pPr>
    </w:p>
    <w:p w14:paraId="70908578" w14:textId="7D14B33B" w:rsidR="00553A47" w:rsidRPr="00781112" w:rsidRDefault="00553A47">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14:paraId="4B525DFA" w14:textId="76C42186" w:rsidR="009D378C" w:rsidRPr="00781112" w:rsidRDefault="009D378C" w:rsidP="004369B2">
      <w:pPr>
        <w:pStyle w:val="Heading1"/>
        <w:rPr>
          <w:color w:val="000000" w:themeColor="text1"/>
          <w:sz w:val="22"/>
        </w:rPr>
      </w:pPr>
      <w:r w:rsidRPr="00781112">
        <w:rPr>
          <w:color w:val="000000" w:themeColor="text1"/>
          <w:sz w:val="22"/>
        </w:rPr>
        <w:lastRenderedPageBreak/>
        <w:t xml:space="preserve">Indicator 3B: Proficiency for Children with IEPs (Grade Level Academic Achievement Standards) </w:t>
      </w:r>
      <w:bookmarkEnd w:id="10"/>
      <w:bookmarkEnd w:id="11"/>
    </w:p>
    <w:p w14:paraId="66C662B8" w14:textId="77777777" w:rsidR="007C3C89" w:rsidRPr="00781112" w:rsidRDefault="007C3C89" w:rsidP="00A018D4">
      <w:pPr>
        <w:rPr>
          <w:color w:val="000000" w:themeColor="text1"/>
          <w:szCs w:val="20"/>
        </w:rPr>
      </w:pPr>
      <w:bookmarkStart w:id="13" w:name="_Toc392159271"/>
      <w:r w:rsidRPr="00781112">
        <w:rPr>
          <w:b/>
          <w:color w:val="000000" w:themeColor="text1"/>
          <w:sz w:val="20"/>
          <w:szCs w:val="20"/>
        </w:rPr>
        <w:t>Instructions and Measurement</w:t>
      </w:r>
    </w:p>
    <w:p w14:paraId="31EC23C7" w14:textId="5EB5B691"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F546D74" w14:textId="7751A5DC"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4F752398"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5BE34F5D"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3A689820"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59A0C85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08325460"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17F5F231" w14:textId="77777777" w:rsidR="005873EB" w:rsidRPr="00781112" w:rsidRDefault="005873EB" w:rsidP="004369B2">
      <w:pPr>
        <w:rPr>
          <w:color w:val="000000" w:themeColor="text1"/>
        </w:rPr>
      </w:pPr>
      <w:r w:rsidRPr="00781112">
        <w:rPr>
          <w:b/>
          <w:color w:val="000000" w:themeColor="text1"/>
        </w:rPr>
        <w:t>Data Source</w:t>
      </w:r>
    </w:p>
    <w:p w14:paraId="74E3B0EF" w14:textId="680BE39A" w:rsidR="00A14AEA" w:rsidRPr="0075451F" w:rsidRDefault="00A14AEA" w:rsidP="002621F6">
      <w:pPr>
        <w:rPr>
          <w:rFonts w:cs="Arial"/>
          <w:szCs w:val="16"/>
        </w:rPr>
      </w:pPr>
      <w:r w:rsidRPr="00781112">
        <w:rPr>
          <w:rFonts w:cs="Arial"/>
          <w:color w:val="000000" w:themeColor="text1"/>
          <w:szCs w:val="16"/>
        </w:rPr>
        <w:t xml:space="preserve">3B. Same data as used for reporting to the Department under Title I of the ESEA, using EDFacts file specifications </w:t>
      </w:r>
      <w:r w:rsidR="001B1437" w:rsidRPr="00781112">
        <w:rPr>
          <w:rFonts w:cs="Arial"/>
          <w:szCs w:val="16"/>
        </w:rPr>
        <w:t>FS175 and 178.</w:t>
      </w:r>
    </w:p>
    <w:p w14:paraId="58C69CDD" w14:textId="77777777" w:rsidR="005873EB" w:rsidRPr="00781112" w:rsidRDefault="005873EB" w:rsidP="004369B2">
      <w:pPr>
        <w:rPr>
          <w:color w:val="000000" w:themeColor="text1"/>
        </w:rPr>
      </w:pPr>
      <w:r w:rsidRPr="00781112">
        <w:rPr>
          <w:b/>
          <w:color w:val="000000" w:themeColor="text1"/>
        </w:rPr>
        <w:t>Measurement</w:t>
      </w:r>
    </w:p>
    <w:p w14:paraId="1B72B9D8" w14:textId="6F544A48"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13B81A44" w14:textId="77777777" w:rsidR="005873EB" w:rsidRPr="00781112" w:rsidRDefault="005873EB" w:rsidP="004369B2">
      <w:pPr>
        <w:rPr>
          <w:color w:val="000000" w:themeColor="text1"/>
        </w:rPr>
      </w:pPr>
      <w:r w:rsidRPr="00781112">
        <w:rPr>
          <w:b/>
          <w:color w:val="000000" w:themeColor="text1"/>
        </w:rPr>
        <w:t>Instructions</w:t>
      </w:r>
    </w:p>
    <w:p w14:paraId="5315B3F5"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02A5AC14"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28C72839" w14:textId="5218735C"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4CDFE310" w14:textId="3FF11C15" w:rsidR="00677C8C" w:rsidRPr="00781112" w:rsidRDefault="00573F6C" w:rsidP="008645AD">
      <w:pPr>
        <w:pStyle w:val="Heading2"/>
      </w:pPr>
      <w:r w:rsidRPr="00781112">
        <w:t>3B</w:t>
      </w:r>
      <w:r w:rsidR="00BB4FD7" w:rsidRPr="00781112">
        <w:t xml:space="preserve"> </w:t>
      </w:r>
      <w:r w:rsidRPr="00781112">
        <w:t xml:space="preserve">- </w:t>
      </w:r>
      <w:r w:rsidR="00677C8C" w:rsidRPr="00781112">
        <w:t>Indicator Data</w:t>
      </w:r>
    </w:p>
    <w:bookmarkEnd w:id="13"/>
    <w:p w14:paraId="515AEF58" w14:textId="26D7E3C2"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12417720" w14:textId="77777777" w:rsidTr="009725F4">
        <w:trPr>
          <w:trHeight w:val="368"/>
          <w:tblHeader/>
        </w:trPr>
        <w:tc>
          <w:tcPr>
            <w:tcW w:w="736" w:type="pct"/>
            <w:tcBorders>
              <w:top w:val="single" w:sz="4" w:space="0" w:color="auto"/>
            </w:tcBorders>
            <w:vAlign w:val="center"/>
          </w:tcPr>
          <w:p w14:paraId="7EC3C39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3734B1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7B7E2CD1"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328A387A"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7BA55F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4037BAD8" w14:textId="77777777" w:rsidTr="00360DD6">
        <w:trPr>
          <w:trHeight w:val="368"/>
        </w:trPr>
        <w:tc>
          <w:tcPr>
            <w:tcW w:w="736" w:type="pct"/>
            <w:vAlign w:val="center"/>
          </w:tcPr>
          <w:p w14:paraId="7483D39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589D2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62918043" w14:textId="606DEBBA"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2F272CC" w14:textId="71E3B85C"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A2A9F8D" w14:textId="7B983B8C" w:rsidR="00E87854" w:rsidRPr="00781112" w:rsidRDefault="00E87854" w:rsidP="00827FF4">
            <w:pPr>
              <w:spacing w:before="0" w:after="0"/>
              <w:jc w:val="center"/>
              <w:rPr>
                <w:color w:val="000000" w:themeColor="text1"/>
              </w:rPr>
            </w:pPr>
            <w:r w:rsidRPr="00781112">
              <w:rPr>
                <w:rFonts w:cs="Arial"/>
                <w:color w:val="000000" w:themeColor="text1"/>
                <w:szCs w:val="16"/>
              </w:rPr>
              <w:t>7.00%</w:t>
            </w:r>
          </w:p>
        </w:tc>
      </w:tr>
      <w:tr w:rsidR="00E87854" w:rsidRPr="00781112" w14:paraId="60278D71" w14:textId="77777777" w:rsidTr="00360DD6">
        <w:trPr>
          <w:trHeight w:val="368"/>
        </w:trPr>
        <w:tc>
          <w:tcPr>
            <w:tcW w:w="736" w:type="pct"/>
            <w:vAlign w:val="center"/>
          </w:tcPr>
          <w:p w14:paraId="3507BA0D"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479467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B8FF5A1" w14:textId="37E21D7F"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1CCEEB25" w14:textId="1C22E745"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1FB31F" w14:textId="070EC95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4.46%</w:t>
            </w:r>
          </w:p>
        </w:tc>
      </w:tr>
      <w:tr w:rsidR="00E87854" w:rsidRPr="00781112" w14:paraId="2E17CFEC" w14:textId="77777777" w:rsidTr="00360DD6">
        <w:trPr>
          <w:trHeight w:val="368"/>
        </w:trPr>
        <w:tc>
          <w:tcPr>
            <w:tcW w:w="736" w:type="pct"/>
            <w:vAlign w:val="center"/>
          </w:tcPr>
          <w:p w14:paraId="686A187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9389293"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A5BDDFB" w14:textId="2058F5F3"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15FB216" w14:textId="6B3B7253"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F3FCFE8" w14:textId="7784B72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5.93%</w:t>
            </w:r>
          </w:p>
        </w:tc>
      </w:tr>
      <w:tr w:rsidR="00E87854" w:rsidRPr="00781112" w14:paraId="2DE181AC" w14:textId="77777777" w:rsidTr="00360DD6">
        <w:trPr>
          <w:trHeight w:val="368"/>
        </w:trPr>
        <w:tc>
          <w:tcPr>
            <w:tcW w:w="736" w:type="pct"/>
            <w:vAlign w:val="center"/>
          </w:tcPr>
          <w:p w14:paraId="62906600"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58A602F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3CC85F5" w14:textId="434951B5"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83C0C1B" w14:textId="1213FD2B"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A92448" w14:textId="0F5F274D"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11.45%</w:t>
            </w:r>
          </w:p>
        </w:tc>
      </w:tr>
      <w:tr w:rsidR="00E87854" w:rsidRPr="00781112" w14:paraId="15831A3C" w14:textId="77777777" w:rsidTr="00360DD6">
        <w:trPr>
          <w:trHeight w:val="368"/>
        </w:trPr>
        <w:tc>
          <w:tcPr>
            <w:tcW w:w="736" w:type="pct"/>
            <w:vAlign w:val="center"/>
          </w:tcPr>
          <w:p w14:paraId="3F38811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75BC7B5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AD560DF" w14:textId="6ED06A7D"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6F22CF1" w14:textId="7783498C"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3B302E6" w14:textId="2F431F68"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2.39%</w:t>
            </w:r>
          </w:p>
        </w:tc>
      </w:tr>
      <w:tr w:rsidR="00E87854" w:rsidRPr="00781112" w14:paraId="5866D3B1" w14:textId="77777777" w:rsidTr="00360DD6">
        <w:trPr>
          <w:trHeight w:val="368"/>
        </w:trPr>
        <w:tc>
          <w:tcPr>
            <w:tcW w:w="736" w:type="pct"/>
            <w:vAlign w:val="center"/>
          </w:tcPr>
          <w:p w14:paraId="619219C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CF2F68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FE864B8" w14:textId="002FA991"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216CD238" w14:textId="75E8822F"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6C96CFB" w14:textId="3BA21F14"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2.96%</w:t>
            </w:r>
          </w:p>
        </w:tc>
      </w:tr>
    </w:tbl>
    <w:p w14:paraId="59FDF599" w14:textId="77777777" w:rsidR="00E87854" w:rsidRPr="00781112" w:rsidRDefault="00E87854" w:rsidP="004369B2">
      <w:pPr>
        <w:rPr>
          <w:b/>
          <w:color w:val="000000" w:themeColor="text1"/>
        </w:rPr>
      </w:pPr>
    </w:p>
    <w:p w14:paraId="4E5C7995" w14:textId="4B1994AB" w:rsidR="004D0044" w:rsidRPr="00781112" w:rsidRDefault="00AA3A41" w:rsidP="00AA3A41">
      <w:pPr>
        <w:tabs>
          <w:tab w:val="left" w:pos="2145"/>
        </w:tabs>
        <w:rPr>
          <w:color w:val="000000" w:themeColor="text1"/>
        </w:rPr>
      </w:pPr>
      <w:r>
        <w:rPr>
          <w:color w:val="000000" w:themeColor="text1"/>
        </w:rPr>
        <w:tab/>
      </w:r>
    </w:p>
    <w:p w14:paraId="38F110A8" w14:textId="3014A321" w:rsidR="00E539AB" w:rsidRPr="00781112" w:rsidRDefault="00E539AB" w:rsidP="004369B2">
      <w:pPr>
        <w:rPr>
          <w:b/>
          <w:color w:val="000000" w:themeColor="text1"/>
        </w:rPr>
      </w:pPr>
      <w:r w:rsidRPr="00781112">
        <w:rPr>
          <w:b/>
          <w:color w:val="000000" w:themeColor="text1"/>
        </w:rPr>
        <w:t>Targets</w:t>
      </w:r>
    </w:p>
    <w:tbl>
      <w:tblPr>
        <w:tblW w:w="4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7"/>
        <w:gridCol w:w="1200"/>
        <w:gridCol w:w="1200"/>
        <w:gridCol w:w="1200"/>
        <w:gridCol w:w="1200"/>
        <w:gridCol w:w="1200"/>
        <w:gridCol w:w="1200"/>
        <w:gridCol w:w="1200"/>
      </w:tblGrid>
      <w:tr w:rsidR="00B14519" w:rsidRPr="00781112" w14:paraId="241559C7" w14:textId="3976E689" w:rsidTr="00451D7E">
        <w:tc>
          <w:tcPr>
            <w:tcW w:w="624" w:type="pct"/>
            <w:tcBorders>
              <w:bottom w:val="single" w:sz="4" w:space="0" w:color="auto"/>
            </w:tcBorders>
            <w:shd w:val="clear" w:color="auto" w:fill="auto"/>
            <w:vAlign w:val="center"/>
          </w:tcPr>
          <w:p w14:paraId="5F6C0247" w14:textId="02A2F5D1" w:rsidR="00B14519" w:rsidRPr="00781112" w:rsidRDefault="00B14519" w:rsidP="00536B0B">
            <w:pPr>
              <w:jc w:val="center"/>
              <w:rPr>
                <w:b/>
                <w:color w:val="000000" w:themeColor="text1"/>
              </w:rPr>
            </w:pPr>
            <w:r w:rsidRPr="00781112">
              <w:rPr>
                <w:b/>
                <w:color w:val="000000" w:themeColor="text1"/>
              </w:rPr>
              <w:t>Subject</w:t>
            </w:r>
          </w:p>
        </w:tc>
        <w:tc>
          <w:tcPr>
            <w:tcW w:w="625" w:type="pct"/>
            <w:tcBorders>
              <w:bottom w:val="single" w:sz="4" w:space="0" w:color="auto"/>
            </w:tcBorders>
            <w:shd w:val="clear" w:color="auto" w:fill="auto"/>
            <w:vAlign w:val="center"/>
          </w:tcPr>
          <w:p w14:paraId="1318C08B" w14:textId="57349DD9" w:rsidR="00B14519" w:rsidRPr="00781112" w:rsidRDefault="00B14519" w:rsidP="00536B0B">
            <w:pPr>
              <w:jc w:val="center"/>
              <w:rPr>
                <w:b/>
                <w:color w:val="000000" w:themeColor="text1"/>
              </w:rPr>
            </w:pPr>
            <w:r w:rsidRPr="00781112">
              <w:rPr>
                <w:b/>
                <w:color w:val="000000" w:themeColor="text1"/>
              </w:rPr>
              <w:t>Group</w:t>
            </w:r>
          </w:p>
        </w:tc>
        <w:tc>
          <w:tcPr>
            <w:tcW w:w="625" w:type="pct"/>
            <w:shd w:val="clear" w:color="auto" w:fill="auto"/>
            <w:vAlign w:val="center"/>
          </w:tcPr>
          <w:p w14:paraId="7EAB09FA" w14:textId="030EC418" w:rsidR="00B14519" w:rsidRPr="00781112" w:rsidDel="008E7B87" w:rsidRDefault="00B14519" w:rsidP="00536B0B">
            <w:pPr>
              <w:jc w:val="center"/>
              <w:rPr>
                <w:b/>
                <w:color w:val="000000" w:themeColor="text1"/>
              </w:rPr>
            </w:pPr>
            <w:r w:rsidRPr="00781112">
              <w:rPr>
                <w:b/>
                <w:color w:val="000000" w:themeColor="text1"/>
              </w:rPr>
              <w:t>Group Name</w:t>
            </w:r>
          </w:p>
        </w:tc>
        <w:tc>
          <w:tcPr>
            <w:tcW w:w="625" w:type="pct"/>
            <w:shd w:val="clear" w:color="auto" w:fill="auto"/>
            <w:vAlign w:val="center"/>
          </w:tcPr>
          <w:p w14:paraId="547F4988" w14:textId="1F981DE2" w:rsidR="00B14519" w:rsidRPr="00781112" w:rsidRDefault="00B14519" w:rsidP="00536B0B">
            <w:pPr>
              <w:jc w:val="center"/>
              <w:rPr>
                <w:b/>
                <w:color w:val="000000" w:themeColor="text1"/>
              </w:rPr>
            </w:pPr>
            <w:r w:rsidRPr="00781112">
              <w:rPr>
                <w:b/>
                <w:color w:val="000000" w:themeColor="text1"/>
              </w:rPr>
              <w:t>2021</w:t>
            </w:r>
          </w:p>
        </w:tc>
        <w:tc>
          <w:tcPr>
            <w:tcW w:w="625" w:type="pct"/>
            <w:vAlign w:val="center"/>
          </w:tcPr>
          <w:p w14:paraId="54E0670C" w14:textId="46A8862B" w:rsidR="00B14519" w:rsidRPr="00781112" w:rsidRDefault="00B14519" w:rsidP="00536B0B">
            <w:pPr>
              <w:jc w:val="center"/>
              <w:rPr>
                <w:b/>
                <w:color w:val="000000" w:themeColor="text1"/>
              </w:rPr>
            </w:pPr>
            <w:r w:rsidRPr="00781112">
              <w:rPr>
                <w:rFonts w:cs="Arial"/>
                <w:b/>
                <w:color w:val="000000" w:themeColor="text1"/>
                <w:szCs w:val="16"/>
              </w:rPr>
              <w:t>2022</w:t>
            </w:r>
          </w:p>
        </w:tc>
        <w:tc>
          <w:tcPr>
            <w:tcW w:w="625" w:type="pct"/>
            <w:vAlign w:val="center"/>
          </w:tcPr>
          <w:p w14:paraId="0317CAEF" w14:textId="4A2FF736" w:rsidR="00B14519" w:rsidRPr="00781112" w:rsidRDefault="00B14519" w:rsidP="00536B0B">
            <w:pPr>
              <w:jc w:val="center"/>
              <w:rPr>
                <w:b/>
                <w:color w:val="000000" w:themeColor="text1"/>
              </w:rPr>
            </w:pPr>
            <w:r w:rsidRPr="00781112">
              <w:rPr>
                <w:rFonts w:cs="Arial"/>
                <w:b/>
                <w:color w:val="000000" w:themeColor="text1"/>
                <w:szCs w:val="16"/>
              </w:rPr>
              <w:t>2023</w:t>
            </w:r>
          </w:p>
        </w:tc>
        <w:tc>
          <w:tcPr>
            <w:tcW w:w="625" w:type="pct"/>
            <w:vAlign w:val="center"/>
          </w:tcPr>
          <w:p w14:paraId="20B86A7A" w14:textId="2D2BB96C" w:rsidR="00B14519" w:rsidRPr="00781112" w:rsidRDefault="00B14519" w:rsidP="00536B0B">
            <w:pPr>
              <w:jc w:val="center"/>
              <w:rPr>
                <w:b/>
                <w:color w:val="000000" w:themeColor="text1"/>
              </w:rPr>
            </w:pPr>
            <w:r w:rsidRPr="00781112">
              <w:rPr>
                <w:rFonts w:cs="Arial"/>
                <w:b/>
                <w:color w:val="000000" w:themeColor="text1"/>
                <w:szCs w:val="16"/>
              </w:rPr>
              <w:t>2024</w:t>
            </w:r>
          </w:p>
        </w:tc>
        <w:tc>
          <w:tcPr>
            <w:tcW w:w="625" w:type="pct"/>
            <w:vAlign w:val="center"/>
          </w:tcPr>
          <w:p w14:paraId="076A0812" w14:textId="01751FCE" w:rsidR="00B14519" w:rsidRPr="00781112" w:rsidRDefault="00B14519" w:rsidP="00536B0B">
            <w:pPr>
              <w:jc w:val="center"/>
              <w:rPr>
                <w:b/>
                <w:color w:val="000000" w:themeColor="text1"/>
              </w:rPr>
            </w:pPr>
            <w:r w:rsidRPr="00781112">
              <w:rPr>
                <w:rFonts w:cs="Arial"/>
                <w:b/>
                <w:color w:val="000000" w:themeColor="text1"/>
                <w:szCs w:val="16"/>
              </w:rPr>
              <w:t>2025</w:t>
            </w:r>
          </w:p>
        </w:tc>
      </w:tr>
      <w:tr w:rsidR="00B14519" w:rsidRPr="00781112" w14:paraId="6D8B6989" w14:textId="160D0375" w:rsidTr="00451D7E">
        <w:tc>
          <w:tcPr>
            <w:tcW w:w="624" w:type="pct"/>
            <w:shd w:val="clear" w:color="auto" w:fill="auto"/>
            <w:vAlign w:val="center"/>
          </w:tcPr>
          <w:p w14:paraId="1B70FAC0" w14:textId="0849CE9C"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Reading</w:t>
            </w:r>
          </w:p>
        </w:tc>
        <w:tc>
          <w:tcPr>
            <w:tcW w:w="625" w:type="pct"/>
            <w:shd w:val="clear" w:color="auto" w:fill="auto"/>
            <w:vAlign w:val="center"/>
          </w:tcPr>
          <w:p w14:paraId="6221F405" w14:textId="189877A2"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A &gt;=</w:t>
            </w:r>
          </w:p>
        </w:tc>
        <w:tc>
          <w:tcPr>
            <w:tcW w:w="625" w:type="pct"/>
            <w:shd w:val="clear" w:color="auto" w:fill="auto"/>
            <w:vAlign w:val="center"/>
          </w:tcPr>
          <w:p w14:paraId="6D2C8AC8" w14:textId="0101FADC" w:rsidR="00B14519" w:rsidRPr="00781112" w:rsidDel="00DB0A73" w:rsidRDefault="00B14519" w:rsidP="004E5C74">
            <w:pPr>
              <w:jc w:val="center"/>
              <w:rPr>
                <w:rFonts w:cs="Arial"/>
                <w:color w:val="000000" w:themeColor="text1"/>
                <w:szCs w:val="16"/>
              </w:rPr>
            </w:pPr>
            <w:r w:rsidRPr="00781112">
              <w:rPr>
                <w:rFonts w:cs="Arial"/>
                <w:color w:val="000000" w:themeColor="text1"/>
                <w:szCs w:val="16"/>
              </w:rPr>
              <w:t>Grade 4</w:t>
            </w:r>
          </w:p>
        </w:tc>
        <w:tc>
          <w:tcPr>
            <w:tcW w:w="625" w:type="pct"/>
            <w:shd w:val="clear" w:color="auto" w:fill="auto"/>
            <w:vAlign w:val="center"/>
          </w:tcPr>
          <w:p w14:paraId="1794FDC8" w14:textId="2C32479D" w:rsidR="00B14519" w:rsidRPr="00781112" w:rsidRDefault="00B14519" w:rsidP="004E5C74">
            <w:pPr>
              <w:jc w:val="center"/>
              <w:rPr>
                <w:rFonts w:cs="Arial"/>
                <w:color w:val="000000" w:themeColor="text1"/>
                <w:szCs w:val="16"/>
              </w:rPr>
            </w:pPr>
            <w:r w:rsidRPr="00781112">
              <w:rPr>
                <w:rFonts w:cs="Arial"/>
                <w:color w:val="000000" w:themeColor="text1"/>
                <w:szCs w:val="16"/>
              </w:rPr>
              <w:t>7.49%</w:t>
            </w:r>
          </w:p>
        </w:tc>
        <w:tc>
          <w:tcPr>
            <w:tcW w:w="625" w:type="pct"/>
            <w:vAlign w:val="center"/>
          </w:tcPr>
          <w:p w14:paraId="609A7D0F" w14:textId="138D9671" w:rsidR="00B14519" w:rsidRPr="00781112" w:rsidRDefault="00B14519" w:rsidP="004E5C74">
            <w:pPr>
              <w:jc w:val="center"/>
              <w:rPr>
                <w:rFonts w:cs="Arial"/>
                <w:color w:val="000000" w:themeColor="text1"/>
                <w:szCs w:val="16"/>
              </w:rPr>
            </w:pPr>
            <w:r w:rsidRPr="00781112">
              <w:rPr>
                <w:rFonts w:cs="Arial"/>
                <w:color w:val="000000" w:themeColor="text1"/>
                <w:szCs w:val="16"/>
              </w:rPr>
              <w:t>8.01%</w:t>
            </w:r>
          </w:p>
        </w:tc>
        <w:tc>
          <w:tcPr>
            <w:tcW w:w="625" w:type="pct"/>
            <w:vAlign w:val="center"/>
          </w:tcPr>
          <w:p w14:paraId="3DF1FAFA" w14:textId="4C333171" w:rsidR="00B14519" w:rsidRPr="00781112" w:rsidRDefault="00B14519" w:rsidP="004E5C74">
            <w:pPr>
              <w:jc w:val="center"/>
              <w:rPr>
                <w:rFonts w:cs="Arial"/>
                <w:color w:val="000000" w:themeColor="text1"/>
                <w:szCs w:val="16"/>
              </w:rPr>
            </w:pPr>
            <w:r w:rsidRPr="00781112">
              <w:rPr>
                <w:rFonts w:cs="Arial"/>
                <w:color w:val="000000" w:themeColor="text1"/>
                <w:szCs w:val="16"/>
              </w:rPr>
              <w:t>8.58%</w:t>
            </w:r>
          </w:p>
        </w:tc>
        <w:tc>
          <w:tcPr>
            <w:tcW w:w="625" w:type="pct"/>
            <w:vAlign w:val="center"/>
          </w:tcPr>
          <w:p w14:paraId="77B3DA55" w14:textId="44F9C6DA" w:rsidR="00B14519" w:rsidRPr="00781112" w:rsidRDefault="00B14519" w:rsidP="004E5C74">
            <w:pPr>
              <w:jc w:val="center"/>
              <w:rPr>
                <w:rFonts w:cs="Arial"/>
                <w:color w:val="000000" w:themeColor="text1"/>
                <w:szCs w:val="16"/>
              </w:rPr>
            </w:pPr>
            <w:r w:rsidRPr="00781112">
              <w:rPr>
                <w:rFonts w:cs="Arial"/>
                <w:color w:val="000000" w:themeColor="text1"/>
                <w:szCs w:val="16"/>
              </w:rPr>
              <w:t>9.18%</w:t>
            </w:r>
          </w:p>
        </w:tc>
        <w:tc>
          <w:tcPr>
            <w:tcW w:w="625" w:type="pct"/>
            <w:vAlign w:val="center"/>
          </w:tcPr>
          <w:p w14:paraId="59DDD0B3" w14:textId="64292362" w:rsidR="00B14519" w:rsidRPr="00781112" w:rsidRDefault="00B14519" w:rsidP="004E5C74">
            <w:pPr>
              <w:jc w:val="center"/>
              <w:rPr>
                <w:rFonts w:cs="Arial"/>
                <w:color w:val="000000" w:themeColor="text1"/>
                <w:szCs w:val="16"/>
              </w:rPr>
            </w:pPr>
            <w:r w:rsidRPr="00781112">
              <w:rPr>
                <w:rFonts w:cs="Arial"/>
                <w:color w:val="000000" w:themeColor="text1"/>
                <w:szCs w:val="16"/>
              </w:rPr>
              <w:t>9.82%</w:t>
            </w:r>
          </w:p>
        </w:tc>
      </w:tr>
      <w:tr w:rsidR="00B14519" w:rsidRPr="00781112" w14:paraId="6BD665D1" w14:textId="5FDF63E7" w:rsidTr="00451D7E">
        <w:tc>
          <w:tcPr>
            <w:tcW w:w="624" w:type="pct"/>
            <w:shd w:val="clear" w:color="auto" w:fill="auto"/>
            <w:vAlign w:val="center"/>
          </w:tcPr>
          <w:p w14:paraId="2A84087F" w14:textId="4E8F4953"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Reading</w:t>
            </w:r>
          </w:p>
        </w:tc>
        <w:tc>
          <w:tcPr>
            <w:tcW w:w="625" w:type="pct"/>
            <w:shd w:val="clear" w:color="auto" w:fill="auto"/>
            <w:vAlign w:val="center"/>
          </w:tcPr>
          <w:p w14:paraId="2646C0D6" w14:textId="23685D27"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B &gt;=</w:t>
            </w:r>
          </w:p>
        </w:tc>
        <w:tc>
          <w:tcPr>
            <w:tcW w:w="625" w:type="pct"/>
            <w:shd w:val="clear" w:color="auto" w:fill="auto"/>
            <w:vAlign w:val="center"/>
          </w:tcPr>
          <w:p w14:paraId="67079A1D" w14:textId="08C9FD02" w:rsidR="00B14519" w:rsidRPr="00781112" w:rsidDel="00DB0A73" w:rsidRDefault="00B14519" w:rsidP="004E5C74">
            <w:pPr>
              <w:jc w:val="center"/>
              <w:rPr>
                <w:rFonts w:cs="Arial"/>
                <w:color w:val="000000" w:themeColor="text1"/>
                <w:szCs w:val="16"/>
              </w:rPr>
            </w:pPr>
            <w:r w:rsidRPr="00781112">
              <w:rPr>
                <w:rFonts w:cs="Arial"/>
                <w:color w:val="000000" w:themeColor="text1"/>
                <w:szCs w:val="16"/>
              </w:rPr>
              <w:t>Grade 8</w:t>
            </w:r>
          </w:p>
        </w:tc>
        <w:tc>
          <w:tcPr>
            <w:tcW w:w="625" w:type="pct"/>
            <w:shd w:val="clear" w:color="auto" w:fill="auto"/>
            <w:vAlign w:val="center"/>
          </w:tcPr>
          <w:p w14:paraId="03609D46" w14:textId="75CA57B6" w:rsidR="00B14519" w:rsidRPr="00781112" w:rsidRDefault="00B14519" w:rsidP="004E5C74">
            <w:pPr>
              <w:jc w:val="center"/>
              <w:rPr>
                <w:rFonts w:cs="Arial"/>
                <w:color w:val="000000" w:themeColor="text1"/>
                <w:szCs w:val="16"/>
              </w:rPr>
            </w:pPr>
            <w:r w:rsidRPr="00781112">
              <w:rPr>
                <w:rFonts w:cs="Arial"/>
                <w:color w:val="000000" w:themeColor="text1"/>
                <w:szCs w:val="16"/>
              </w:rPr>
              <w:t>4.77%</w:t>
            </w:r>
          </w:p>
        </w:tc>
        <w:tc>
          <w:tcPr>
            <w:tcW w:w="625" w:type="pct"/>
            <w:vAlign w:val="center"/>
          </w:tcPr>
          <w:p w14:paraId="08D72C36" w14:textId="2621CBFF" w:rsidR="00B14519" w:rsidRPr="00781112" w:rsidRDefault="00B14519" w:rsidP="004E5C74">
            <w:pPr>
              <w:jc w:val="center"/>
              <w:rPr>
                <w:rFonts w:cs="Arial"/>
                <w:color w:val="000000" w:themeColor="text1"/>
                <w:szCs w:val="16"/>
              </w:rPr>
            </w:pPr>
            <w:r w:rsidRPr="00781112">
              <w:rPr>
                <w:rFonts w:cs="Arial"/>
                <w:color w:val="000000" w:themeColor="text1"/>
                <w:szCs w:val="16"/>
              </w:rPr>
              <w:t>5.11%</w:t>
            </w:r>
          </w:p>
        </w:tc>
        <w:tc>
          <w:tcPr>
            <w:tcW w:w="625" w:type="pct"/>
            <w:vAlign w:val="center"/>
          </w:tcPr>
          <w:p w14:paraId="60E9FAA2" w14:textId="0E1508C1" w:rsidR="00B14519" w:rsidRPr="00781112" w:rsidRDefault="00B14519" w:rsidP="004E5C74">
            <w:pPr>
              <w:jc w:val="center"/>
              <w:rPr>
                <w:rFonts w:cs="Arial"/>
                <w:color w:val="000000" w:themeColor="text1"/>
                <w:szCs w:val="16"/>
              </w:rPr>
            </w:pPr>
            <w:r w:rsidRPr="00781112">
              <w:rPr>
                <w:rFonts w:cs="Arial"/>
                <w:color w:val="000000" w:themeColor="text1"/>
                <w:szCs w:val="16"/>
              </w:rPr>
              <w:t>5.45%</w:t>
            </w:r>
          </w:p>
        </w:tc>
        <w:tc>
          <w:tcPr>
            <w:tcW w:w="625" w:type="pct"/>
            <w:vAlign w:val="center"/>
          </w:tcPr>
          <w:p w14:paraId="55ED1028" w14:textId="05411637" w:rsidR="00B14519" w:rsidRPr="00781112" w:rsidRDefault="00B14519" w:rsidP="004E5C74">
            <w:pPr>
              <w:jc w:val="center"/>
              <w:rPr>
                <w:rFonts w:cs="Arial"/>
                <w:color w:val="000000" w:themeColor="text1"/>
                <w:szCs w:val="16"/>
              </w:rPr>
            </w:pPr>
            <w:r w:rsidRPr="00781112">
              <w:rPr>
                <w:rFonts w:cs="Arial"/>
                <w:color w:val="000000" w:themeColor="text1"/>
                <w:szCs w:val="16"/>
              </w:rPr>
              <w:t>5.85%</w:t>
            </w:r>
          </w:p>
        </w:tc>
        <w:tc>
          <w:tcPr>
            <w:tcW w:w="625" w:type="pct"/>
            <w:vAlign w:val="center"/>
          </w:tcPr>
          <w:p w14:paraId="3D7C28F8" w14:textId="2CE26657" w:rsidR="00B14519" w:rsidRPr="00781112" w:rsidRDefault="00B14519" w:rsidP="004E5C74">
            <w:pPr>
              <w:jc w:val="center"/>
              <w:rPr>
                <w:rFonts w:cs="Arial"/>
                <w:color w:val="000000" w:themeColor="text1"/>
                <w:szCs w:val="16"/>
              </w:rPr>
            </w:pPr>
            <w:r w:rsidRPr="00781112">
              <w:rPr>
                <w:rFonts w:cs="Arial"/>
                <w:color w:val="000000" w:themeColor="text1"/>
                <w:szCs w:val="16"/>
              </w:rPr>
              <w:t>6.26%</w:t>
            </w:r>
          </w:p>
        </w:tc>
      </w:tr>
      <w:tr w:rsidR="00B14519" w:rsidRPr="00781112" w14:paraId="7A08D372" w14:textId="5FBBCE88" w:rsidTr="00451D7E">
        <w:tc>
          <w:tcPr>
            <w:tcW w:w="624" w:type="pct"/>
            <w:shd w:val="clear" w:color="auto" w:fill="auto"/>
            <w:vAlign w:val="center"/>
          </w:tcPr>
          <w:p w14:paraId="3C8DF435" w14:textId="69FCCDF1"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Reading</w:t>
            </w:r>
          </w:p>
        </w:tc>
        <w:tc>
          <w:tcPr>
            <w:tcW w:w="625" w:type="pct"/>
            <w:shd w:val="clear" w:color="auto" w:fill="auto"/>
            <w:vAlign w:val="center"/>
          </w:tcPr>
          <w:p w14:paraId="2CDE7790" w14:textId="3B90C904"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C &gt;=</w:t>
            </w:r>
          </w:p>
        </w:tc>
        <w:tc>
          <w:tcPr>
            <w:tcW w:w="625" w:type="pct"/>
            <w:shd w:val="clear" w:color="auto" w:fill="auto"/>
            <w:vAlign w:val="center"/>
          </w:tcPr>
          <w:p w14:paraId="69727A60" w14:textId="2476755A" w:rsidR="00B14519" w:rsidRPr="00781112" w:rsidDel="00DB0A73" w:rsidRDefault="00B14519" w:rsidP="004E5C74">
            <w:pPr>
              <w:jc w:val="center"/>
              <w:rPr>
                <w:rFonts w:cs="Arial"/>
                <w:color w:val="000000" w:themeColor="text1"/>
                <w:szCs w:val="16"/>
              </w:rPr>
            </w:pPr>
            <w:r w:rsidRPr="00781112">
              <w:rPr>
                <w:rFonts w:cs="Arial"/>
                <w:color w:val="000000" w:themeColor="text1"/>
                <w:szCs w:val="16"/>
              </w:rPr>
              <w:t>Grade HS</w:t>
            </w:r>
          </w:p>
        </w:tc>
        <w:tc>
          <w:tcPr>
            <w:tcW w:w="625" w:type="pct"/>
            <w:shd w:val="clear" w:color="auto" w:fill="auto"/>
            <w:vAlign w:val="center"/>
          </w:tcPr>
          <w:p w14:paraId="6D9D8EC6" w14:textId="3C7C8315" w:rsidR="00B14519" w:rsidRPr="00781112" w:rsidRDefault="00B14519" w:rsidP="004E5C74">
            <w:pPr>
              <w:jc w:val="center"/>
              <w:rPr>
                <w:rFonts w:cs="Arial"/>
                <w:color w:val="000000" w:themeColor="text1"/>
                <w:szCs w:val="16"/>
              </w:rPr>
            </w:pPr>
            <w:r w:rsidRPr="00781112">
              <w:rPr>
                <w:rFonts w:cs="Arial"/>
                <w:color w:val="000000" w:themeColor="text1"/>
                <w:szCs w:val="16"/>
              </w:rPr>
              <w:t>6.35%</w:t>
            </w:r>
          </w:p>
        </w:tc>
        <w:tc>
          <w:tcPr>
            <w:tcW w:w="625" w:type="pct"/>
            <w:vAlign w:val="center"/>
          </w:tcPr>
          <w:p w14:paraId="6F53672D" w14:textId="674E45B1" w:rsidR="00B14519" w:rsidRPr="00781112" w:rsidRDefault="00B14519" w:rsidP="004E5C74">
            <w:pPr>
              <w:jc w:val="center"/>
              <w:rPr>
                <w:rFonts w:cs="Arial"/>
                <w:color w:val="000000" w:themeColor="text1"/>
                <w:szCs w:val="16"/>
              </w:rPr>
            </w:pPr>
            <w:r w:rsidRPr="00781112">
              <w:rPr>
                <w:rFonts w:cs="Arial"/>
                <w:color w:val="000000" w:themeColor="text1"/>
                <w:szCs w:val="16"/>
              </w:rPr>
              <w:t>6.79%</w:t>
            </w:r>
          </w:p>
        </w:tc>
        <w:tc>
          <w:tcPr>
            <w:tcW w:w="625" w:type="pct"/>
            <w:vAlign w:val="center"/>
          </w:tcPr>
          <w:p w14:paraId="1E839895" w14:textId="3633076A" w:rsidR="00B14519" w:rsidRPr="00781112" w:rsidRDefault="00B14519" w:rsidP="004E5C74">
            <w:pPr>
              <w:jc w:val="center"/>
              <w:rPr>
                <w:rFonts w:cs="Arial"/>
                <w:color w:val="000000" w:themeColor="text1"/>
                <w:szCs w:val="16"/>
              </w:rPr>
            </w:pPr>
            <w:r w:rsidRPr="00781112">
              <w:rPr>
                <w:rFonts w:cs="Arial"/>
                <w:color w:val="000000" w:themeColor="text1"/>
                <w:szCs w:val="16"/>
              </w:rPr>
              <w:t>7.26%</w:t>
            </w:r>
          </w:p>
        </w:tc>
        <w:tc>
          <w:tcPr>
            <w:tcW w:w="625" w:type="pct"/>
            <w:vAlign w:val="center"/>
          </w:tcPr>
          <w:p w14:paraId="64501470" w14:textId="22292C16" w:rsidR="00B14519" w:rsidRPr="00781112" w:rsidRDefault="00B14519" w:rsidP="004E5C74">
            <w:pPr>
              <w:jc w:val="center"/>
              <w:rPr>
                <w:rFonts w:cs="Arial"/>
                <w:color w:val="000000" w:themeColor="text1"/>
                <w:szCs w:val="16"/>
              </w:rPr>
            </w:pPr>
            <w:r w:rsidRPr="00781112">
              <w:rPr>
                <w:rFonts w:cs="Arial"/>
                <w:color w:val="000000" w:themeColor="text1"/>
                <w:szCs w:val="16"/>
              </w:rPr>
              <w:t>7.77%</w:t>
            </w:r>
          </w:p>
        </w:tc>
        <w:tc>
          <w:tcPr>
            <w:tcW w:w="625" w:type="pct"/>
            <w:vAlign w:val="center"/>
          </w:tcPr>
          <w:p w14:paraId="0CF7FF79" w14:textId="48B4AF2C" w:rsidR="00B14519" w:rsidRPr="00781112" w:rsidRDefault="00B14519" w:rsidP="004E5C74">
            <w:pPr>
              <w:jc w:val="center"/>
              <w:rPr>
                <w:rFonts w:cs="Arial"/>
                <w:color w:val="000000" w:themeColor="text1"/>
                <w:szCs w:val="16"/>
              </w:rPr>
            </w:pPr>
            <w:r w:rsidRPr="00781112">
              <w:rPr>
                <w:rFonts w:cs="Arial"/>
                <w:color w:val="000000" w:themeColor="text1"/>
                <w:szCs w:val="16"/>
              </w:rPr>
              <w:t>8.32%</w:t>
            </w:r>
          </w:p>
        </w:tc>
      </w:tr>
      <w:tr w:rsidR="00B14519" w:rsidRPr="00781112" w14:paraId="734BCCC4" w14:textId="02B757A8" w:rsidTr="00451D7E">
        <w:tc>
          <w:tcPr>
            <w:tcW w:w="624" w:type="pct"/>
            <w:shd w:val="clear" w:color="auto" w:fill="auto"/>
            <w:vAlign w:val="center"/>
          </w:tcPr>
          <w:p w14:paraId="20286AC8" w14:textId="018C9C4D"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Math</w:t>
            </w:r>
          </w:p>
        </w:tc>
        <w:tc>
          <w:tcPr>
            <w:tcW w:w="625" w:type="pct"/>
            <w:shd w:val="clear" w:color="auto" w:fill="auto"/>
            <w:vAlign w:val="center"/>
          </w:tcPr>
          <w:p w14:paraId="185C8DA8" w14:textId="6254892D"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A &gt;=</w:t>
            </w:r>
          </w:p>
        </w:tc>
        <w:tc>
          <w:tcPr>
            <w:tcW w:w="625" w:type="pct"/>
            <w:shd w:val="clear" w:color="auto" w:fill="auto"/>
            <w:vAlign w:val="center"/>
          </w:tcPr>
          <w:p w14:paraId="16FD84A2" w14:textId="1BD2010B" w:rsidR="00B14519" w:rsidRPr="00781112" w:rsidDel="00DB0A73" w:rsidRDefault="00B14519" w:rsidP="004E5C74">
            <w:pPr>
              <w:jc w:val="center"/>
              <w:rPr>
                <w:rFonts w:cs="Arial"/>
                <w:color w:val="000000" w:themeColor="text1"/>
                <w:szCs w:val="16"/>
              </w:rPr>
            </w:pPr>
            <w:r w:rsidRPr="00781112">
              <w:rPr>
                <w:rFonts w:cs="Arial"/>
                <w:color w:val="000000" w:themeColor="text1"/>
                <w:szCs w:val="16"/>
              </w:rPr>
              <w:t>Grade 4</w:t>
            </w:r>
          </w:p>
        </w:tc>
        <w:tc>
          <w:tcPr>
            <w:tcW w:w="625" w:type="pct"/>
            <w:shd w:val="clear" w:color="auto" w:fill="auto"/>
            <w:vAlign w:val="center"/>
          </w:tcPr>
          <w:p w14:paraId="0005999A" w14:textId="601F796F" w:rsidR="00B14519" w:rsidRPr="00781112" w:rsidRDefault="00B14519" w:rsidP="004E5C74">
            <w:pPr>
              <w:jc w:val="center"/>
              <w:rPr>
                <w:rFonts w:cs="Arial"/>
                <w:color w:val="000000" w:themeColor="text1"/>
                <w:szCs w:val="16"/>
              </w:rPr>
            </w:pPr>
            <w:r w:rsidRPr="00781112">
              <w:rPr>
                <w:rFonts w:cs="Arial"/>
                <w:color w:val="000000" w:themeColor="text1"/>
                <w:szCs w:val="16"/>
              </w:rPr>
              <w:t>12.25%</w:t>
            </w:r>
          </w:p>
        </w:tc>
        <w:tc>
          <w:tcPr>
            <w:tcW w:w="625" w:type="pct"/>
            <w:vAlign w:val="center"/>
          </w:tcPr>
          <w:p w14:paraId="2ADA59C0" w14:textId="7F027C54" w:rsidR="00B14519" w:rsidRPr="00781112" w:rsidRDefault="00B14519" w:rsidP="004E5C74">
            <w:pPr>
              <w:jc w:val="center"/>
              <w:rPr>
                <w:rFonts w:cs="Arial"/>
                <w:color w:val="000000" w:themeColor="text1"/>
                <w:szCs w:val="16"/>
              </w:rPr>
            </w:pPr>
            <w:r w:rsidRPr="00781112">
              <w:rPr>
                <w:rFonts w:cs="Arial"/>
                <w:color w:val="000000" w:themeColor="text1"/>
                <w:szCs w:val="16"/>
              </w:rPr>
              <w:t>13.11%</w:t>
            </w:r>
          </w:p>
        </w:tc>
        <w:tc>
          <w:tcPr>
            <w:tcW w:w="625" w:type="pct"/>
            <w:vAlign w:val="center"/>
          </w:tcPr>
          <w:p w14:paraId="63258519" w14:textId="524B5DC2" w:rsidR="00B14519" w:rsidRPr="00781112" w:rsidRDefault="00B14519" w:rsidP="004E5C74">
            <w:pPr>
              <w:jc w:val="center"/>
              <w:rPr>
                <w:rFonts w:cs="Arial"/>
                <w:color w:val="000000" w:themeColor="text1"/>
                <w:szCs w:val="16"/>
              </w:rPr>
            </w:pPr>
            <w:r w:rsidRPr="00781112">
              <w:rPr>
                <w:rFonts w:cs="Arial"/>
                <w:color w:val="000000" w:themeColor="text1"/>
                <w:szCs w:val="16"/>
              </w:rPr>
              <w:t>14.03%</w:t>
            </w:r>
          </w:p>
        </w:tc>
        <w:tc>
          <w:tcPr>
            <w:tcW w:w="625" w:type="pct"/>
            <w:vAlign w:val="center"/>
          </w:tcPr>
          <w:p w14:paraId="4B2BD04F" w14:textId="59A32E65" w:rsidR="00B14519" w:rsidRPr="00781112" w:rsidRDefault="00B14519" w:rsidP="004E5C74">
            <w:pPr>
              <w:jc w:val="center"/>
              <w:rPr>
                <w:rFonts w:cs="Arial"/>
                <w:color w:val="000000" w:themeColor="text1"/>
                <w:szCs w:val="16"/>
              </w:rPr>
            </w:pPr>
            <w:r w:rsidRPr="00781112">
              <w:rPr>
                <w:rFonts w:cs="Arial"/>
                <w:color w:val="000000" w:themeColor="text1"/>
                <w:szCs w:val="16"/>
              </w:rPr>
              <w:t>15.03%</w:t>
            </w:r>
          </w:p>
        </w:tc>
        <w:tc>
          <w:tcPr>
            <w:tcW w:w="625" w:type="pct"/>
            <w:vAlign w:val="center"/>
          </w:tcPr>
          <w:p w14:paraId="2E366D74" w14:textId="47D73C6E" w:rsidR="00B14519" w:rsidRPr="00781112" w:rsidRDefault="00B14519" w:rsidP="004E5C74">
            <w:pPr>
              <w:jc w:val="center"/>
              <w:rPr>
                <w:rFonts w:cs="Arial"/>
                <w:color w:val="000000" w:themeColor="text1"/>
                <w:szCs w:val="16"/>
              </w:rPr>
            </w:pPr>
            <w:r w:rsidRPr="00781112">
              <w:rPr>
                <w:rFonts w:cs="Arial"/>
                <w:color w:val="000000" w:themeColor="text1"/>
                <w:szCs w:val="16"/>
              </w:rPr>
              <w:t>16.06%</w:t>
            </w:r>
          </w:p>
        </w:tc>
      </w:tr>
      <w:tr w:rsidR="00B14519" w:rsidRPr="00781112" w14:paraId="26043383" w14:textId="3D057A6F" w:rsidTr="00451D7E">
        <w:tc>
          <w:tcPr>
            <w:tcW w:w="624" w:type="pct"/>
            <w:shd w:val="clear" w:color="auto" w:fill="auto"/>
            <w:vAlign w:val="center"/>
          </w:tcPr>
          <w:p w14:paraId="2BCD3006" w14:textId="785241B2"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Math</w:t>
            </w:r>
          </w:p>
        </w:tc>
        <w:tc>
          <w:tcPr>
            <w:tcW w:w="625" w:type="pct"/>
            <w:shd w:val="clear" w:color="auto" w:fill="auto"/>
            <w:vAlign w:val="center"/>
          </w:tcPr>
          <w:p w14:paraId="79B80F0C" w14:textId="52C31857"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B &gt;=</w:t>
            </w:r>
          </w:p>
        </w:tc>
        <w:tc>
          <w:tcPr>
            <w:tcW w:w="625" w:type="pct"/>
            <w:shd w:val="clear" w:color="auto" w:fill="auto"/>
            <w:vAlign w:val="center"/>
          </w:tcPr>
          <w:p w14:paraId="27B1E35D" w14:textId="336183AA" w:rsidR="00B14519" w:rsidRPr="00781112" w:rsidDel="00DB0A73" w:rsidRDefault="00B14519" w:rsidP="004E5C74">
            <w:pPr>
              <w:jc w:val="center"/>
              <w:rPr>
                <w:rFonts w:cs="Arial"/>
                <w:color w:val="000000" w:themeColor="text1"/>
                <w:szCs w:val="16"/>
              </w:rPr>
            </w:pPr>
            <w:r w:rsidRPr="00781112">
              <w:rPr>
                <w:rFonts w:cs="Arial"/>
                <w:color w:val="000000" w:themeColor="text1"/>
                <w:szCs w:val="16"/>
              </w:rPr>
              <w:t>Grade 8</w:t>
            </w:r>
          </w:p>
        </w:tc>
        <w:tc>
          <w:tcPr>
            <w:tcW w:w="625" w:type="pct"/>
            <w:shd w:val="clear" w:color="auto" w:fill="auto"/>
            <w:vAlign w:val="center"/>
          </w:tcPr>
          <w:p w14:paraId="25263A65" w14:textId="2189A9FC" w:rsidR="00B14519" w:rsidRPr="00781112" w:rsidRDefault="00B14519" w:rsidP="004E5C74">
            <w:pPr>
              <w:jc w:val="center"/>
              <w:rPr>
                <w:rFonts w:cs="Arial"/>
                <w:color w:val="000000" w:themeColor="text1"/>
                <w:szCs w:val="16"/>
              </w:rPr>
            </w:pPr>
            <w:r w:rsidRPr="00781112">
              <w:rPr>
                <w:rFonts w:cs="Arial"/>
                <w:color w:val="000000" w:themeColor="text1"/>
                <w:szCs w:val="16"/>
              </w:rPr>
              <w:t>2.56%</w:t>
            </w:r>
          </w:p>
        </w:tc>
        <w:tc>
          <w:tcPr>
            <w:tcW w:w="625" w:type="pct"/>
            <w:vAlign w:val="center"/>
          </w:tcPr>
          <w:p w14:paraId="558D49D9" w14:textId="56776B71" w:rsidR="00B14519" w:rsidRPr="00781112" w:rsidRDefault="00B14519" w:rsidP="004E5C74">
            <w:pPr>
              <w:jc w:val="center"/>
              <w:rPr>
                <w:rFonts w:cs="Arial"/>
                <w:color w:val="000000" w:themeColor="text1"/>
                <w:szCs w:val="16"/>
              </w:rPr>
            </w:pPr>
            <w:r w:rsidRPr="00781112">
              <w:rPr>
                <w:rFonts w:cs="Arial"/>
                <w:color w:val="000000" w:themeColor="text1"/>
                <w:szCs w:val="16"/>
              </w:rPr>
              <w:t>2.74%</w:t>
            </w:r>
          </w:p>
        </w:tc>
        <w:tc>
          <w:tcPr>
            <w:tcW w:w="625" w:type="pct"/>
            <w:vAlign w:val="center"/>
          </w:tcPr>
          <w:p w14:paraId="529C7F25" w14:textId="45E82B2D" w:rsidR="00B14519" w:rsidRPr="00781112" w:rsidRDefault="00B14519" w:rsidP="004E5C74">
            <w:pPr>
              <w:jc w:val="center"/>
              <w:rPr>
                <w:rFonts w:cs="Arial"/>
                <w:color w:val="000000" w:themeColor="text1"/>
                <w:szCs w:val="16"/>
              </w:rPr>
            </w:pPr>
            <w:r w:rsidRPr="00781112">
              <w:rPr>
                <w:rFonts w:cs="Arial"/>
                <w:color w:val="000000" w:themeColor="text1"/>
                <w:szCs w:val="16"/>
              </w:rPr>
              <w:t>2.93%</w:t>
            </w:r>
          </w:p>
        </w:tc>
        <w:tc>
          <w:tcPr>
            <w:tcW w:w="625" w:type="pct"/>
            <w:vAlign w:val="center"/>
          </w:tcPr>
          <w:p w14:paraId="0CD7F429" w14:textId="3C743F76" w:rsidR="00B14519" w:rsidRPr="00781112" w:rsidRDefault="00B14519" w:rsidP="004E5C74">
            <w:pPr>
              <w:jc w:val="center"/>
              <w:rPr>
                <w:rFonts w:cs="Arial"/>
                <w:color w:val="000000" w:themeColor="text1"/>
                <w:szCs w:val="16"/>
              </w:rPr>
            </w:pPr>
            <w:r w:rsidRPr="00781112">
              <w:rPr>
                <w:rFonts w:cs="Arial"/>
                <w:color w:val="000000" w:themeColor="text1"/>
                <w:szCs w:val="16"/>
              </w:rPr>
              <w:t>3.13%</w:t>
            </w:r>
          </w:p>
        </w:tc>
        <w:tc>
          <w:tcPr>
            <w:tcW w:w="625" w:type="pct"/>
            <w:vAlign w:val="center"/>
          </w:tcPr>
          <w:p w14:paraId="32C7804D" w14:textId="4585EF77" w:rsidR="00B14519" w:rsidRPr="00781112" w:rsidRDefault="00B14519" w:rsidP="004E5C74">
            <w:pPr>
              <w:jc w:val="center"/>
              <w:rPr>
                <w:rFonts w:cs="Arial"/>
                <w:color w:val="000000" w:themeColor="text1"/>
                <w:szCs w:val="16"/>
              </w:rPr>
            </w:pPr>
            <w:r w:rsidRPr="00781112">
              <w:rPr>
                <w:rFonts w:cs="Arial"/>
                <w:color w:val="000000" w:themeColor="text1"/>
                <w:szCs w:val="16"/>
              </w:rPr>
              <w:t>3.35%</w:t>
            </w:r>
          </w:p>
        </w:tc>
      </w:tr>
      <w:tr w:rsidR="00B14519" w:rsidRPr="00781112" w14:paraId="169D5323" w14:textId="1CB4A506" w:rsidTr="00451D7E">
        <w:tc>
          <w:tcPr>
            <w:tcW w:w="624" w:type="pct"/>
            <w:shd w:val="clear" w:color="auto" w:fill="auto"/>
            <w:vAlign w:val="center"/>
          </w:tcPr>
          <w:p w14:paraId="21DAE194" w14:textId="06AF539C"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Math</w:t>
            </w:r>
          </w:p>
        </w:tc>
        <w:tc>
          <w:tcPr>
            <w:tcW w:w="625" w:type="pct"/>
            <w:shd w:val="clear" w:color="auto" w:fill="auto"/>
            <w:vAlign w:val="center"/>
          </w:tcPr>
          <w:p w14:paraId="650CB8D7" w14:textId="080D022D"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C &gt;=</w:t>
            </w:r>
          </w:p>
        </w:tc>
        <w:tc>
          <w:tcPr>
            <w:tcW w:w="625" w:type="pct"/>
            <w:shd w:val="clear" w:color="auto" w:fill="auto"/>
            <w:vAlign w:val="center"/>
          </w:tcPr>
          <w:p w14:paraId="45DBFB21" w14:textId="372229DD" w:rsidR="00B14519" w:rsidRPr="00781112" w:rsidDel="00DB0A73" w:rsidRDefault="00B14519" w:rsidP="004E5C74">
            <w:pPr>
              <w:jc w:val="center"/>
              <w:rPr>
                <w:rFonts w:cs="Arial"/>
                <w:color w:val="000000" w:themeColor="text1"/>
                <w:szCs w:val="16"/>
              </w:rPr>
            </w:pPr>
            <w:r w:rsidRPr="00781112">
              <w:rPr>
                <w:rFonts w:cs="Arial"/>
                <w:color w:val="000000" w:themeColor="text1"/>
                <w:szCs w:val="16"/>
              </w:rPr>
              <w:t>Grade HS</w:t>
            </w:r>
          </w:p>
        </w:tc>
        <w:tc>
          <w:tcPr>
            <w:tcW w:w="625" w:type="pct"/>
            <w:shd w:val="clear" w:color="auto" w:fill="auto"/>
            <w:vAlign w:val="center"/>
          </w:tcPr>
          <w:p w14:paraId="341BF449" w14:textId="76191C29" w:rsidR="00B14519" w:rsidRPr="00781112" w:rsidRDefault="00B14519" w:rsidP="004E5C74">
            <w:pPr>
              <w:jc w:val="center"/>
              <w:rPr>
                <w:rFonts w:cs="Arial"/>
                <w:color w:val="000000" w:themeColor="text1"/>
                <w:szCs w:val="16"/>
              </w:rPr>
            </w:pPr>
            <w:r w:rsidRPr="00781112">
              <w:rPr>
                <w:rFonts w:cs="Arial"/>
                <w:color w:val="000000" w:themeColor="text1"/>
                <w:szCs w:val="16"/>
              </w:rPr>
              <w:t>3.17%</w:t>
            </w:r>
          </w:p>
        </w:tc>
        <w:tc>
          <w:tcPr>
            <w:tcW w:w="625" w:type="pct"/>
            <w:vAlign w:val="center"/>
          </w:tcPr>
          <w:p w14:paraId="5424FF66" w14:textId="7AB6DE06" w:rsidR="00B14519" w:rsidRPr="00781112" w:rsidRDefault="00B14519" w:rsidP="004E5C74">
            <w:pPr>
              <w:jc w:val="center"/>
              <w:rPr>
                <w:rFonts w:cs="Arial"/>
                <w:color w:val="000000" w:themeColor="text1"/>
                <w:szCs w:val="16"/>
              </w:rPr>
            </w:pPr>
            <w:r w:rsidRPr="00781112">
              <w:rPr>
                <w:rFonts w:cs="Arial"/>
                <w:color w:val="000000" w:themeColor="text1"/>
                <w:szCs w:val="16"/>
              </w:rPr>
              <w:t>3.39%</w:t>
            </w:r>
          </w:p>
        </w:tc>
        <w:tc>
          <w:tcPr>
            <w:tcW w:w="625" w:type="pct"/>
            <w:vAlign w:val="center"/>
          </w:tcPr>
          <w:p w14:paraId="552DC3D3" w14:textId="79B2C0C8" w:rsidR="00B14519" w:rsidRPr="00781112" w:rsidRDefault="00B14519" w:rsidP="004E5C74">
            <w:pPr>
              <w:jc w:val="center"/>
              <w:rPr>
                <w:rFonts w:cs="Arial"/>
                <w:color w:val="000000" w:themeColor="text1"/>
                <w:szCs w:val="16"/>
              </w:rPr>
            </w:pPr>
            <w:r w:rsidRPr="00781112">
              <w:rPr>
                <w:rFonts w:cs="Arial"/>
                <w:color w:val="000000" w:themeColor="text1"/>
                <w:szCs w:val="16"/>
              </w:rPr>
              <w:t>3.63%</w:t>
            </w:r>
          </w:p>
        </w:tc>
        <w:tc>
          <w:tcPr>
            <w:tcW w:w="625" w:type="pct"/>
            <w:vAlign w:val="center"/>
          </w:tcPr>
          <w:p w14:paraId="4ECE9215" w14:textId="1D6B1BD9" w:rsidR="00B14519" w:rsidRPr="00781112" w:rsidRDefault="00B14519" w:rsidP="004E5C74">
            <w:pPr>
              <w:jc w:val="center"/>
              <w:rPr>
                <w:rFonts w:cs="Arial"/>
                <w:color w:val="000000" w:themeColor="text1"/>
                <w:szCs w:val="16"/>
              </w:rPr>
            </w:pPr>
            <w:r w:rsidRPr="00781112">
              <w:rPr>
                <w:rFonts w:cs="Arial"/>
                <w:color w:val="000000" w:themeColor="text1"/>
                <w:szCs w:val="16"/>
              </w:rPr>
              <w:t>3.88%</w:t>
            </w:r>
          </w:p>
        </w:tc>
        <w:tc>
          <w:tcPr>
            <w:tcW w:w="625" w:type="pct"/>
            <w:vAlign w:val="center"/>
          </w:tcPr>
          <w:p w14:paraId="6E3EC3AC" w14:textId="066F1EBD" w:rsidR="00B14519" w:rsidRPr="00781112" w:rsidRDefault="00B14519" w:rsidP="004E5C74">
            <w:pPr>
              <w:jc w:val="center"/>
              <w:rPr>
                <w:rFonts w:cs="Arial"/>
                <w:color w:val="000000" w:themeColor="text1"/>
                <w:szCs w:val="16"/>
              </w:rPr>
            </w:pPr>
            <w:r w:rsidRPr="00781112">
              <w:rPr>
                <w:rFonts w:cs="Arial"/>
                <w:color w:val="000000" w:themeColor="text1"/>
                <w:szCs w:val="16"/>
              </w:rPr>
              <w:t>4.15%</w:t>
            </w:r>
          </w:p>
        </w:tc>
      </w:tr>
    </w:tbl>
    <w:p w14:paraId="102C9294" w14:textId="426FC0A1" w:rsidR="002D145D" w:rsidRPr="00781112" w:rsidRDefault="002D145D" w:rsidP="004369B2">
      <w:pPr>
        <w:rPr>
          <w:b/>
          <w:color w:val="000000" w:themeColor="text1"/>
        </w:rPr>
      </w:pPr>
      <w:r w:rsidRPr="00781112">
        <w:rPr>
          <w:b/>
          <w:color w:val="000000" w:themeColor="text1"/>
        </w:rPr>
        <w:t xml:space="preserve">Targets: Description of Stakeholder Input </w:t>
      </w:r>
    </w:p>
    <w:p w14:paraId="2C104549" w14:textId="03A0AB0D" w:rsidR="002D145D" w:rsidRPr="00781112" w:rsidRDefault="002D145D" w:rsidP="002D145D">
      <w:pPr>
        <w:rPr>
          <w:rFonts w:cs="Arial"/>
          <w:color w:val="000000" w:themeColor="text1"/>
          <w:szCs w:val="16"/>
        </w:rPr>
      </w:pPr>
    </w:p>
    <w:p w14:paraId="2446B7C2" w14:textId="77777777" w:rsidR="00F20369" w:rsidRPr="00781112" w:rsidRDefault="00F20369" w:rsidP="004369B2">
      <w:pPr>
        <w:rPr>
          <w:color w:val="000000" w:themeColor="text1"/>
        </w:rPr>
      </w:pPr>
      <w:bookmarkStart w:id="14" w:name="_Toc392159273"/>
    </w:p>
    <w:p w14:paraId="2F64E7B3" w14:textId="74B76004" w:rsidR="00344AE0" w:rsidRPr="00781112" w:rsidRDefault="00FA33C9">
      <w:pPr>
        <w:rPr>
          <w:b/>
          <w:color w:val="000000" w:themeColor="text1"/>
        </w:rPr>
      </w:pPr>
      <w:r>
        <w:rPr>
          <w:b/>
          <w:color w:val="000000" w:themeColor="text1"/>
        </w:rPr>
        <w:t>FFY 2021 Data Disaggregation from EDFacts</w:t>
      </w:r>
    </w:p>
    <w:p w14:paraId="6BDCF123"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5EBDA348" w14:textId="4BF943DC" w:rsidR="00C470E8" w:rsidRPr="00781112" w:rsidRDefault="002B7490" w:rsidP="00552927">
      <w:pPr>
        <w:rPr>
          <w:rFonts w:cs="Arial"/>
          <w:color w:val="000000" w:themeColor="text1"/>
          <w:szCs w:val="16"/>
        </w:rPr>
      </w:pPr>
      <w:r w:rsidRPr="00781112">
        <w:rPr>
          <w:rFonts w:cs="Arial"/>
          <w:color w:val="000000" w:themeColor="text1"/>
          <w:szCs w:val="16"/>
        </w:rPr>
        <w:t>SY 2021-22 Assessment Data Groups - Reading (EDFacts file spec FS178; Data Group: 584)</w:t>
      </w:r>
    </w:p>
    <w:p w14:paraId="435988E5"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Date: </w:t>
      </w:r>
    </w:p>
    <w:p w14:paraId="1E2D8106" w14:textId="34AD25B1" w:rsidR="00344AE0" w:rsidRPr="00781112" w:rsidRDefault="002B7490" w:rsidP="00552927">
      <w:pPr>
        <w:rPr>
          <w:rFonts w:cs="Arial"/>
          <w:color w:val="000000" w:themeColor="text1"/>
          <w:szCs w:val="16"/>
        </w:rPr>
      </w:pPr>
      <w:r w:rsidRPr="00781112">
        <w:rPr>
          <w:rFonts w:cs="Arial"/>
          <w:color w:val="000000" w:themeColor="text1"/>
          <w:szCs w:val="16"/>
        </w:rPr>
        <w:t>04/05/2023</w:t>
      </w:r>
    </w:p>
    <w:p w14:paraId="59BC6B2E" w14:textId="718BB7D0" w:rsidR="009D0D68" w:rsidRPr="00781112" w:rsidRDefault="00FE2056">
      <w:pPr>
        <w:rPr>
          <w:b/>
          <w:color w:val="000000" w:themeColor="text1"/>
        </w:rPr>
      </w:pPr>
      <w:r w:rsidRPr="00781112">
        <w:rPr>
          <w:b/>
          <w:color w:val="000000" w:themeColor="text1"/>
        </w:rPr>
        <w:t>Reading Assessment Proficiency Data by Grade</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35CB1461" w14:textId="77777777" w:rsidTr="009E026B">
        <w:tc>
          <w:tcPr>
            <w:tcW w:w="1124" w:type="pct"/>
            <w:shd w:val="clear" w:color="auto" w:fill="auto"/>
          </w:tcPr>
          <w:p w14:paraId="39D40F16" w14:textId="18178F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lastRenderedPageBreak/>
              <w:t>Group</w:t>
            </w:r>
          </w:p>
        </w:tc>
        <w:tc>
          <w:tcPr>
            <w:tcW w:w="1292" w:type="pct"/>
            <w:shd w:val="clear" w:color="auto" w:fill="auto"/>
            <w:vAlign w:val="center"/>
          </w:tcPr>
          <w:p w14:paraId="17538CC6" w14:textId="5AE78718"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7B4C40DF" w14:textId="7F368CC4"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3761AD03" w14:textId="6AC32E5E"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568B2C00" w14:textId="77777777" w:rsidTr="009E026B">
        <w:tc>
          <w:tcPr>
            <w:tcW w:w="1124" w:type="pct"/>
            <w:shd w:val="clear" w:color="auto" w:fill="auto"/>
          </w:tcPr>
          <w:p w14:paraId="4AD99060" w14:textId="5CD6AD07" w:rsidR="003B0C91" w:rsidRPr="00781112" w:rsidRDefault="003B0C91" w:rsidP="003B0C91">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17848320" w14:textId="2D89B216" w:rsidR="003B0C91" w:rsidRPr="00781112" w:rsidRDefault="003B0C91" w:rsidP="00360DD6">
            <w:pPr>
              <w:jc w:val="center"/>
              <w:rPr>
                <w:rFonts w:cs="Arial"/>
                <w:color w:val="000000" w:themeColor="text1"/>
                <w:szCs w:val="16"/>
              </w:rPr>
            </w:pPr>
            <w:r w:rsidRPr="00781112">
              <w:rPr>
                <w:rFonts w:cs="Arial"/>
                <w:color w:val="000000" w:themeColor="text1"/>
                <w:szCs w:val="16"/>
              </w:rPr>
              <w:t>9,059</w:t>
            </w:r>
          </w:p>
        </w:tc>
        <w:tc>
          <w:tcPr>
            <w:tcW w:w="1292" w:type="pct"/>
            <w:shd w:val="clear" w:color="auto" w:fill="auto"/>
            <w:vAlign w:val="center"/>
          </w:tcPr>
          <w:p w14:paraId="51A72AB5" w14:textId="4469B046" w:rsidR="003B0C91" w:rsidRPr="00781112" w:rsidRDefault="003B0C91" w:rsidP="00360DD6">
            <w:pPr>
              <w:jc w:val="center"/>
              <w:rPr>
                <w:rFonts w:cs="Arial"/>
                <w:color w:val="000000" w:themeColor="text1"/>
                <w:szCs w:val="16"/>
              </w:rPr>
            </w:pPr>
            <w:r w:rsidRPr="00781112">
              <w:rPr>
                <w:rFonts w:cs="Arial"/>
                <w:color w:val="000000" w:themeColor="text1"/>
                <w:szCs w:val="16"/>
              </w:rPr>
              <w:t>8,168</w:t>
            </w:r>
          </w:p>
        </w:tc>
        <w:tc>
          <w:tcPr>
            <w:tcW w:w="1292" w:type="pct"/>
            <w:shd w:val="clear" w:color="auto" w:fill="auto"/>
            <w:vAlign w:val="center"/>
          </w:tcPr>
          <w:p w14:paraId="151E318E" w14:textId="46F9C307" w:rsidR="003B0C91" w:rsidRPr="00781112" w:rsidRDefault="003B0C91" w:rsidP="00360DD6">
            <w:pPr>
              <w:jc w:val="center"/>
              <w:rPr>
                <w:rFonts w:cs="Arial"/>
                <w:color w:val="000000" w:themeColor="text1"/>
                <w:szCs w:val="16"/>
              </w:rPr>
            </w:pPr>
            <w:r w:rsidRPr="00781112">
              <w:rPr>
                <w:rFonts w:cs="Arial"/>
                <w:color w:val="000000" w:themeColor="text1"/>
                <w:szCs w:val="16"/>
              </w:rPr>
              <w:t>6,009</w:t>
            </w:r>
          </w:p>
        </w:tc>
      </w:tr>
      <w:tr w:rsidR="003B0C91" w:rsidRPr="00781112" w14:paraId="4F287E15" w14:textId="77777777" w:rsidTr="009E026B">
        <w:tc>
          <w:tcPr>
            <w:tcW w:w="1124" w:type="pct"/>
            <w:shd w:val="clear" w:color="auto" w:fill="auto"/>
          </w:tcPr>
          <w:p w14:paraId="3423EDAB" w14:textId="76BBADB8"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shd w:val="clear" w:color="auto" w:fill="auto"/>
            <w:vAlign w:val="center"/>
          </w:tcPr>
          <w:p w14:paraId="616181A6" w14:textId="2B02EF7A" w:rsidR="003B0C91" w:rsidRPr="00781112" w:rsidRDefault="003B0C91" w:rsidP="00360DD6">
            <w:pPr>
              <w:jc w:val="center"/>
              <w:rPr>
                <w:rFonts w:cs="Arial"/>
                <w:color w:val="000000" w:themeColor="text1"/>
                <w:szCs w:val="16"/>
              </w:rPr>
            </w:pPr>
            <w:r w:rsidRPr="00781112">
              <w:rPr>
                <w:rFonts w:cs="Arial"/>
                <w:color w:val="000000" w:themeColor="text1"/>
                <w:szCs w:val="16"/>
              </w:rPr>
              <w:t>545</w:t>
            </w:r>
          </w:p>
        </w:tc>
        <w:tc>
          <w:tcPr>
            <w:tcW w:w="1292" w:type="pct"/>
            <w:shd w:val="clear" w:color="auto" w:fill="auto"/>
            <w:vAlign w:val="center"/>
          </w:tcPr>
          <w:p w14:paraId="74B7B6E9" w14:textId="4E36B377" w:rsidR="003B0C91" w:rsidRPr="00781112" w:rsidRDefault="003B0C91" w:rsidP="00360DD6">
            <w:pPr>
              <w:jc w:val="center"/>
              <w:rPr>
                <w:rFonts w:cs="Arial"/>
                <w:color w:val="000000" w:themeColor="text1"/>
                <w:szCs w:val="16"/>
              </w:rPr>
            </w:pPr>
            <w:r w:rsidRPr="00781112">
              <w:rPr>
                <w:rFonts w:cs="Arial"/>
                <w:color w:val="000000" w:themeColor="text1"/>
                <w:szCs w:val="16"/>
              </w:rPr>
              <w:t>186</w:t>
            </w:r>
          </w:p>
        </w:tc>
        <w:tc>
          <w:tcPr>
            <w:tcW w:w="1292" w:type="pct"/>
            <w:shd w:val="clear" w:color="auto" w:fill="auto"/>
            <w:vAlign w:val="center"/>
          </w:tcPr>
          <w:p w14:paraId="46F10147" w14:textId="1408D78A" w:rsidR="003B0C91" w:rsidRPr="00781112" w:rsidRDefault="003B0C91" w:rsidP="00360DD6">
            <w:pPr>
              <w:jc w:val="center"/>
              <w:rPr>
                <w:rFonts w:cs="Arial"/>
                <w:color w:val="000000" w:themeColor="text1"/>
                <w:szCs w:val="16"/>
              </w:rPr>
            </w:pPr>
            <w:r w:rsidRPr="00781112">
              <w:rPr>
                <w:rFonts w:cs="Arial"/>
                <w:color w:val="000000" w:themeColor="text1"/>
                <w:szCs w:val="16"/>
              </w:rPr>
              <w:t>246</w:t>
            </w:r>
          </w:p>
        </w:tc>
      </w:tr>
      <w:tr w:rsidR="003B0C91" w:rsidRPr="00781112" w14:paraId="41239D5E" w14:textId="77777777" w:rsidTr="009E026B">
        <w:tc>
          <w:tcPr>
            <w:tcW w:w="1124" w:type="pct"/>
            <w:shd w:val="clear" w:color="auto" w:fill="auto"/>
          </w:tcPr>
          <w:p w14:paraId="5F79CC0F" w14:textId="181C3E6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shd w:val="clear" w:color="auto" w:fill="auto"/>
            <w:vAlign w:val="center"/>
          </w:tcPr>
          <w:p w14:paraId="5E9652E2" w14:textId="24316F52" w:rsidR="003B0C91" w:rsidRPr="00781112" w:rsidRDefault="003B0C91" w:rsidP="00360DD6">
            <w:pPr>
              <w:jc w:val="center"/>
              <w:rPr>
                <w:rFonts w:cs="Arial"/>
                <w:color w:val="000000" w:themeColor="text1"/>
                <w:szCs w:val="16"/>
              </w:rPr>
            </w:pPr>
            <w:r w:rsidRPr="00781112">
              <w:rPr>
                <w:rFonts w:cs="Arial"/>
                <w:color w:val="000000" w:themeColor="text1"/>
                <w:szCs w:val="16"/>
              </w:rPr>
              <w:t>173</w:t>
            </w:r>
          </w:p>
        </w:tc>
        <w:tc>
          <w:tcPr>
            <w:tcW w:w="1292" w:type="pct"/>
            <w:shd w:val="clear" w:color="auto" w:fill="auto"/>
            <w:vAlign w:val="center"/>
          </w:tcPr>
          <w:p w14:paraId="47F69679" w14:textId="3EDB1646" w:rsidR="003B0C91" w:rsidRPr="00781112" w:rsidRDefault="003B0C91" w:rsidP="00360DD6">
            <w:pPr>
              <w:jc w:val="center"/>
              <w:rPr>
                <w:rFonts w:cs="Arial"/>
                <w:color w:val="000000" w:themeColor="text1"/>
                <w:szCs w:val="16"/>
              </w:rPr>
            </w:pPr>
            <w:r w:rsidRPr="00781112">
              <w:rPr>
                <w:rFonts w:cs="Arial"/>
                <w:color w:val="000000" w:themeColor="text1"/>
                <w:szCs w:val="16"/>
              </w:rPr>
              <w:t>216</w:t>
            </w:r>
          </w:p>
        </w:tc>
        <w:tc>
          <w:tcPr>
            <w:tcW w:w="1292" w:type="pct"/>
            <w:shd w:val="clear" w:color="auto" w:fill="auto"/>
            <w:vAlign w:val="center"/>
          </w:tcPr>
          <w:p w14:paraId="59F768C9" w14:textId="4401EA9F" w:rsidR="003B0C91" w:rsidRPr="00781112" w:rsidRDefault="003B0C91" w:rsidP="00360DD6">
            <w:pPr>
              <w:jc w:val="center"/>
              <w:rPr>
                <w:rFonts w:cs="Arial"/>
                <w:color w:val="000000" w:themeColor="text1"/>
                <w:szCs w:val="16"/>
              </w:rPr>
            </w:pPr>
            <w:r w:rsidRPr="00781112">
              <w:rPr>
                <w:rFonts w:cs="Arial"/>
                <w:color w:val="000000" w:themeColor="text1"/>
                <w:szCs w:val="16"/>
              </w:rPr>
              <w:t>307</w:t>
            </w:r>
          </w:p>
        </w:tc>
      </w:tr>
    </w:tbl>
    <w:p w14:paraId="5994F67E" w14:textId="77777777" w:rsidR="00346807" w:rsidRPr="00781112" w:rsidRDefault="00346807">
      <w:pPr>
        <w:rPr>
          <w:b/>
          <w:color w:val="000000" w:themeColor="text1"/>
        </w:rPr>
      </w:pPr>
    </w:p>
    <w:p w14:paraId="6D3557DD"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1FB962F7" w14:textId="1892B5D3" w:rsidR="00C470E8" w:rsidRPr="00781112" w:rsidRDefault="002B7490" w:rsidP="00552927">
      <w:pPr>
        <w:rPr>
          <w:rFonts w:cs="Arial"/>
          <w:color w:val="000000" w:themeColor="text1"/>
          <w:szCs w:val="16"/>
        </w:rPr>
      </w:pPr>
      <w:r w:rsidRPr="00781112">
        <w:rPr>
          <w:rFonts w:cs="Arial"/>
          <w:color w:val="000000" w:themeColor="text1"/>
          <w:szCs w:val="16"/>
        </w:rPr>
        <w:t>SY 2021-22 Assessment Data Groups - Math (EDFacts file spec FS175; Data Group: 583)</w:t>
      </w:r>
    </w:p>
    <w:p w14:paraId="57CD97A4"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26169998" w14:textId="4F560DE2" w:rsidR="00382F22" w:rsidRPr="00781112" w:rsidRDefault="002B7490" w:rsidP="00552927">
      <w:pPr>
        <w:rPr>
          <w:rFonts w:cs="Arial"/>
          <w:color w:val="000000" w:themeColor="text1"/>
          <w:szCs w:val="16"/>
        </w:rPr>
      </w:pPr>
      <w:r w:rsidRPr="00781112">
        <w:rPr>
          <w:rFonts w:cs="Arial"/>
          <w:color w:val="000000" w:themeColor="text1"/>
          <w:szCs w:val="16"/>
        </w:rPr>
        <w:t>04/05/2023</w:t>
      </w:r>
    </w:p>
    <w:p w14:paraId="33DEC24F" w14:textId="77777777" w:rsidR="005D18BE" w:rsidRPr="00781112" w:rsidRDefault="005D18BE" w:rsidP="00552927">
      <w:pPr>
        <w:rPr>
          <w:rFonts w:cs="Arial"/>
          <w:color w:val="000000" w:themeColor="text1"/>
          <w:szCs w:val="16"/>
        </w:rPr>
      </w:pPr>
    </w:p>
    <w:p w14:paraId="5767F488" w14:textId="335F73B7" w:rsidR="00FE2056" w:rsidRPr="00781112" w:rsidRDefault="00FE2056">
      <w:pPr>
        <w:rPr>
          <w:b/>
          <w:color w:val="000000" w:themeColor="text1"/>
        </w:rPr>
      </w:pPr>
      <w:r w:rsidRPr="00781112">
        <w:rPr>
          <w:b/>
          <w:color w:val="000000" w:themeColor="text1"/>
        </w:rPr>
        <w:t>Math Assessment Proficiency Data by Grade</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1F3A5453" w14:textId="77777777" w:rsidTr="009E026B">
        <w:tc>
          <w:tcPr>
            <w:tcW w:w="1124" w:type="pct"/>
            <w:shd w:val="clear" w:color="auto" w:fill="auto"/>
          </w:tcPr>
          <w:p w14:paraId="5BF018F9" w14:textId="6FE6FA6F"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24FAE140" w14:textId="0B22750E"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47A01117" w14:textId="43F14FF6"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62BC8C13" w14:textId="1B955AD9"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3E50404B" w14:textId="77777777" w:rsidTr="009E026B">
        <w:tc>
          <w:tcPr>
            <w:tcW w:w="1124" w:type="pct"/>
            <w:shd w:val="clear" w:color="auto" w:fill="auto"/>
          </w:tcPr>
          <w:p w14:paraId="1BC1C3E1" w14:textId="4BCAFF70" w:rsidR="00EB6900" w:rsidRPr="00781112" w:rsidRDefault="00EB6900" w:rsidP="00EB690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73844C67" w14:textId="1DA65780" w:rsidR="00EB6900" w:rsidRPr="00781112" w:rsidRDefault="00EB6900" w:rsidP="00360DD6">
            <w:pPr>
              <w:jc w:val="center"/>
              <w:rPr>
                <w:rFonts w:cs="Arial"/>
                <w:color w:val="000000" w:themeColor="text1"/>
                <w:szCs w:val="16"/>
              </w:rPr>
            </w:pPr>
            <w:r w:rsidRPr="00781112">
              <w:rPr>
                <w:rFonts w:cs="Arial"/>
                <w:color w:val="000000" w:themeColor="text1"/>
                <w:szCs w:val="16"/>
              </w:rPr>
              <w:t>9,050</w:t>
            </w:r>
          </w:p>
        </w:tc>
        <w:tc>
          <w:tcPr>
            <w:tcW w:w="1292" w:type="pct"/>
            <w:shd w:val="clear" w:color="auto" w:fill="auto"/>
            <w:vAlign w:val="center"/>
          </w:tcPr>
          <w:p w14:paraId="3573F811" w14:textId="4BE7EE48" w:rsidR="00EB6900" w:rsidRPr="00781112" w:rsidRDefault="00EB6900" w:rsidP="00360DD6">
            <w:pPr>
              <w:jc w:val="center"/>
              <w:rPr>
                <w:rFonts w:cs="Arial"/>
                <w:color w:val="000000" w:themeColor="text1"/>
                <w:szCs w:val="16"/>
              </w:rPr>
            </w:pPr>
            <w:r w:rsidRPr="00781112">
              <w:rPr>
                <w:rFonts w:cs="Arial"/>
                <w:color w:val="000000" w:themeColor="text1"/>
                <w:szCs w:val="16"/>
              </w:rPr>
              <w:t>8,137</w:t>
            </w:r>
          </w:p>
        </w:tc>
        <w:tc>
          <w:tcPr>
            <w:tcW w:w="1292" w:type="pct"/>
            <w:shd w:val="clear" w:color="auto" w:fill="auto"/>
            <w:vAlign w:val="center"/>
          </w:tcPr>
          <w:p w14:paraId="3D006657" w14:textId="5E74B673" w:rsidR="00EB6900" w:rsidRPr="00781112" w:rsidRDefault="00EB6900" w:rsidP="00360DD6">
            <w:pPr>
              <w:jc w:val="center"/>
              <w:rPr>
                <w:rFonts w:cs="Arial"/>
                <w:color w:val="000000" w:themeColor="text1"/>
                <w:szCs w:val="16"/>
              </w:rPr>
            </w:pPr>
            <w:r w:rsidRPr="00781112">
              <w:rPr>
                <w:rFonts w:cs="Arial"/>
                <w:color w:val="000000" w:themeColor="text1"/>
                <w:szCs w:val="16"/>
              </w:rPr>
              <w:t>6,020</w:t>
            </w:r>
          </w:p>
        </w:tc>
      </w:tr>
      <w:tr w:rsidR="00EB6900" w:rsidRPr="00781112" w14:paraId="4482EF44" w14:textId="77777777" w:rsidTr="009E026B">
        <w:tc>
          <w:tcPr>
            <w:tcW w:w="1124" w:type="pct"/>
            <w:shd w:val="clear" w:color="auto" w:fill="auto"/>
          </w:tcPr>
          <w:p w14:paraId="27BF445B" w14:textId="0D33636A" w:rsidR="00EB6900" w:rsidRPr="00781112" w:rsidRDefault="00EB6900" w:rsidP="00EB6900">
            <w:pPr>
              <w:rPr>
                <w:rFonts w:cs="Arial"/>
                <w:color w:val="000000" w:themeColor="text1"/>
                <w:szCs w:val="16"/>
              </w:rPr>
            </w:pPr>
            <w:r w:rsidRPr="00781112">
              <w:rPr>
                <w:rFonts w:cs="Arial"/>
                <w:szCs w:val="16"/>
                <w:shd w:val="clear" w:color="auto" w:fill="FFFFFF"/>
              </w:rPr>
              <w:t>b. Children with IEPs in regular assessment with no accommodations scored at or above proficient against grade level</w:t>
            </w:r>
          </w:p>
        </w:tc>
        <w:tc>
          <w:tcPr>
            <w:tcW w:w="1292" w:type="pct"/>
            <w:shd w:val="clear" w:color="auto" w:fill="auto"/>
            <w:vAlign w:val="center"/>
          </w:tcPr>
          <w:p w14:paraId="6FAE18FE" w14:textId="45CDD134" w:rsidR="00EB6900" w:rsidRPr="00781112" w:rsidRDefault="00EB6900" w:rsidP="00360DD6">
            <w:pPr>
              <w:jc w:val="center"/>
              <w:rPr>
                <w:rFonts w:cs="Arial"/>
                <w:color w:val="000000" w:themeColor="text1"/>
                <w:szCs w:val="16"/>
              </w:rPr>
            </w:pPr>
            <w:r w:rsidRPr="00781112">
              <w:rPr>
                <w:rFonts w:cs="Arial"/>
                <w:color w:val="000000" w:themeColor="text1"/>
                <w:szCs w:val="16"/>
              </w:rPr>
              <w:t>819</w:t>
            </w:r>
          </w:p>
        </w:tc>
        <w:tc>
          <w:tcPr>
            <w:tcW w:w="1292" w:type="pct"/>
            <w:shd w:val="clear" w:color="auto" w:fill="auto"/>
            <w:vAlign w:val="center"/>
          </w:tcPr>
          <w:p w14:paraId="0501C27C" w14:textId="424208A4" w:rsidR="00EB6900" w:rsidRPr="00781112" w:rsidRDefault="00EB6900" w:rsidP="00360DD6">
            <w:pPr>
              <w:jc w:val="center"/>
              <w:rPr>
                <w:rFonts w:cs="Arial"/>
                <w:color w:val="000000" w:themeColor="text1"/>
                <w:szCs w:val="16"/>
              </w:rPr>
            </w:pPr>
            <w:r w:rsidRPr="00781112">
              <w:rPr>
                <w:rFonts w:cs="Arial"/>
                <w:color w:val="000000" w:themeColor="text1"/>
                <w:szCs w:val="16"/>
              </w:rPr>
              <w:t>105</w:t>
            </w:r>
          </w:p>
        </w:tc>
        <w:tc>
          <w:tcPr>
            <w:tcW w:w="1292" w:type="pct"/>
            <w:shd w:val="clear" w:color="auto" w:fill="auto"/>
            <w:vAlign w:val="center"/>
          </w:tcPr>
          <w:p w14:paraId="2F8ECC6A" w14:textId="065827BA" w:rsidR="00EB6900" w:rsidRPr="00781112" w:rsidRDefault="00EB6900" w:rsidP="00360DD6">
            <w:pPr>
              <w:jc w:val="center"/>
              <w:rPr>
                <w:rFonts w:cs="Arial"/>
                <w:color w:val="000000" w:themeColor="text1"/>
                <w:szCs w:val="16"/>
              </w:rPr>
            </w:pPr>
            <w:r w:rsidRPr="00781112">
              <w:rPr>
                <w:rFonts w:cs="Arial"/>
                <w:color w:val="000000" w:themeColor="text1"/>
                <w:szCs w:val="16"/>
              </w:rPr>
              <w:t>96</w:t>
            </w:r>
          </w:p>
        </w:tc>
      </w:tr>
      <w:tr w:rsidR="00EB6900" w:rsidRPr="00781112" w14:paraId="7ED983D3" w14:textId="77777777" w:rsidTr="009E026B">
        <w:tc>
          <w:tcPr>
            <w:tcW w:w="1124" w:type="pct"/>
            <w:shd w:val="clear" w:color="auto" w:fill="auto"/>
          </w:tcPr>
          <w:p w14:paraId="6E21D958" w14:textId="7EF8B281" w:rsidR="00EB6900" w:rsidRPr="00781112" w:rsidRDefault="00EB6900" w:rsidP="00EB6900">
            <w:pPr>
              <w:rPr>
                <w:rFonts w:cs="Arial"/>
                <w:color w:val="000000" w:themeColor="text1"/>
                <w:szCs w:val="16"/>
              </w:rPr>
            </w:pPr>
            <w:r w:rsidRPr="00781112">
              <w:rPr>
                <w:rFonts w:cs="Arial"/>
                <w:szCs w:val="16"/>
                <w:shd w:val="clear" w:color="auto" w:fill="FFFFFF"/>
              </w:rPr>
              <w:t>c. Children with IEPs in regular assessment with accommodations scored at or above proficient against grade level</w:t>
            </w:r>
          </w:p>
        </w:tc>
        <w:tc>
          <w:tcPr>
            <w:tcW w:w="1292" w:type="pct"/>
            <w:shd w:val="clear" w:color="auto" w:fill="auto"/>
            <w:vAlign w:val="center"/>
          </w:tcPr>
          <w:p w14:paraId="239BF66A" w14:textId="489CBBAB" w:rsidR="00EB6900" w:rsidRPr="00781112" w:rsidRDefault="00EB6900" w:rsidP="00360DD6">
            <w:pPr>
              <w:jc w:val="center"/>
              <w:rPr>
                <w:rFonts w:cs="Arial"/>
                <w:color w:val="000000" w:themeColor="text1"/>
                <w:szCs w:val="16"/>
              </w:rPr>
            </w:pPr>
            <w:r w:rsidRPr="00781112">
              <w:rPr>
                <w:rFonts w:cs="Arial"/>
                <w:color w:val="000000" w:themeColor="text1"/>
                <w:szCs w:val="16"/>
              </w:rPr>
              <w:t>533</w:t>
            </w:r>
          </w:p>
        </w:tc>
        <w:tc>
          <w:tcPr>
            <w:tcW w:w="1292" w:type="pct"/>
            <w:shd w:val="clear" w:color="auto" w:fill="auto"/>
            <w:vAlign w:val="center"/>
          </w:tcPr>
          <w:p w14:paraId="3148F449" w14:textId="071E2D42" w:rsidR="00EB6900" w:rsidRPr="00781112" w:rsidRDefault="00EB6900" w:rsidP="00360DD6">
            <w:pPr>
              <w:jc w:val="center"/>
              <w:rPr>
                <w:rFonts w:cs="Arial"/>
                <w:color w:val="000000" w:themeColor="text1"/>
                <w:szCs w:val="16"/>
              </w:rPr>
            </w:pPr>
            <w:r w:rsidRPr="00781112">
              <w:rPr>
                <w:rFonts w:cs="Arial"/>
                <w:color w:val="000000" w:themeColor="text1"/>
                <w:szCs w:val="16"/>
              </w:rPr>
              <w:t>127</w:t>
            </w:r>
          </w:p>
        </w:tc>
        <w:tc>
          <w:tcPr>
            <w:tcW w:w="1292" w:type="pct"/>
            <w:shd w:val="clear" w:color="auto" w:fill="auto"/>
            <w:vAlign w:val="center"/>
          </w:tcPr>
          <w:p w14:paraId="56D05BB3" w14:textId="5F6BA567" w:rsidR="00EB6900" w:rsidRPr="00781112" w:rsidRDefault="00EB6900" w:rsidP="00360DD6">
            <w:pPr>
              <w:jc w:val="center"/>
              <w:rPr>
                <w:rFonts w:cs="Arial"/>
                <w:color w:val="000000" w:themeColor="text1"/>
                <w:szCs w:val="16"/>
              </w:rPr>
            </w:pPr>
            <w:r w:rsidRPr="00781112">
              <w:rPr>
                <w:rFonts w:cs="Arial"/>
                <w:color w:val="000000" w:themeColor="text1"/>
                <w:szCs w:val="16"/>
              </w:rPr>
              <w:t>89</w:t>
            </w:r>
          </w:p>
        </w:tc>
      </w:tr>
      <w:bookmarkEnd w:id="14"/>
    </w:tbl>
    <w:p w14:paraId="1A4F8ED6" w14:textId="77777777" w:rsidR="00966232" w:rsidRPr="00781112" w:rsidRDefault="00966232" w:rsidP="004369B2">
      <w:pPr>
        <w:rPr>
          <w:color w:val="000000" w:themeColor="text1"/>
        </w:rPr>
      </w:pPr>
    </w:p>
    <w:p w14:paraId="1E1876C6" w14:textId="39EB7563" w:rsidR="00E539AB" w:rsidRPr="00781112" w:rsidRDefault="0047313F" w:rsidP="004369B2">
      <w:pPr>
        <w:rPr>
          <w:b/>
          <w:color w:val="000000" w:themeColor="text1"/>
        </w:rPr>
      </w:pPr>
      <w:r>
        <w:rPr>
          <w:b/>
          <w:color w:val="000000" w:themeColor="text1"/>
        </w:rPr>
        <w:t>FFY 2021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FA33C9" w:rsidRPr="00781112" w14:paraId="52CF9222" w14:textId="5C9FC6C2" w:rsidTr="004B3F40">
        <w:trPr>
          <w:tblHeader/>
        </w:trPr>
        <w:tc>
          <w:tcPr>
            <w:tcW w:w="198" w:type="pct"/>
            <w:shd w:val="clear" w:color="auto" w:fill="auto"/>
            <w:vAlign w:val="bottom"/>
          </w:tcPr>
          <w:p w14:paraId="5B0C0A4E" w14:textId="31160362" w:rsidR="00FA33C9" w:rsidRPr="00781112" w:rsidRDefault="00FA33C9" w:rsidP="00FA33C9">
            <w:pPr>
              <w:jc w:val="center"/>
              <w:rPr>
                <w:b/>
                <w:color w:val="000000" w:themeColor="text1"/>
              </w:rPr>
            </w:pPr>
            <w:r w:rsidRPr="00781112">
              <w:rPr>
                <w:b/>
                <w:color w:val="000000" w:themeColor="text1"/>
              </w:rPr>
              <w:t>Group</w:t>
            </w:r>
          </w:p>
        </w:tc>
        <w:tc>
          <w:tcPr>
            <w:tcW w:w="411" w:type="pct"/>
            <w:shd w:val="clear" w:color="auto" w:fill="auto"/>
            <w:vAlign w:val="bottom"/>
          </w:tcPr>
          <w:p w14:paraId="08D526E5" w14:textId="4BDB327D" w:rsidR="00FA33C9" w:rsidRPr="00781112" w:rsidRDefault="00FA33C9" w:rsidP="00FA33C9">
            <w:pPr>
              <w:jc w:val="center"/>
              <w:rPr>
                <w:b/>
                <w:color w:val="000000" w:themeColor="text1"/>
              </w:rPr>
            </w:pPr>
            <w:r w:rsidRPr="00781112">
              <w:rPr>
                <w:b/>
                <w:color w:val="000000" w:themeColor="text1"/>
              </w:rPr>
              <w:t>Group Name</w:t>
            </w:r>
          </w:p>
        </w:tc>
        <w:tc>
          <w:tcPr>
            <w:tcW w:w="939" w:type="pct"/>
            <w:shd w:val="clear" w:color="auto" w:fill="auto"/>
          </w:tcPr>
          <w:p w14:paraId="198DD72E" w14:textId="3FB5565B" w:rsidR="00FA33C9" w:rsidRPr="00781112" w:rsidRDefault="00FA33C9" w:rsidP="00FA33C9">
            <w:pPr>
              <w:jc w:val="center"/>
              <w:rPr>
                <w:b/>
                <w:bCs/>
                <w:color w:val="000000" w:themeColor="text1"/>
              </w:rPr>
            </w:pPr>
            <w:r w:rsidRPr="00781112">
              <w:rPr>
                <w:b/>
                <w:bCs/>
              </w:rPr>
              <w:t>Number of Children with IEPs Scoring At or Above Proficient Against Grade Level Academic Achievement Standards</w:t>
            </w:r>
          </w:p>
        </w:tc>
        <w:tc>
          <w:tcPr>
            <w:tcW w:w="939" w:type="pct"/>
            <w:shd w:val="clear" w:color="auto" w:fill="auto"/>
          </w:tcPr>
          <w:p w14:paraId="43067EB5" w14:textId="1B6A6AEE" w:rsidR="00FA33C9" w:rsidRPr="00781112" w:rsidRDefault="00FA33C9" w:rsidP="00FA33C9">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shd w:val="clear" w:color="auto" w:fill="auto"/>
            <w:vAlign w:val="bottom"/>
          </w:tcPr>
          <w:p w14:paraId="18374487" w14:textId="19033228" w:rsidR="00FA33C9" w:rsidRPr="00073BD7" w:rsidRDefault="00FA33C9" w:rsidP="00FA33C9">
            <w:pPr>
              <w:jc w:val="center"/>
              <w:rPr>
                <w:b/>
                <w:bCs/>
                <w:color w:val="000000" w:themeColor="text1"/>
              </w:rPr>
            </w:pPr>
            <w:r w:rsidRPr="00073BD7">
              <w:rPr>
                <w:b/>
                <w:bCs/>
              </w:rPr>
              <w:t>FFY 2020 Data</w:t>
            </w:r>
          </w:p>
        </w:tc>
        <w:tc>
          <w:tcPr>
            <w:tcW w:w="503" w:type="pct"/>
            <w:shd w:val="clear" w:color="auto" w:fill="auto"/>
            <w:vAlign w:val="bottom"/>
          </w:tcPr>
          <w:p w14:paraId="3E51680E" w14:textId="2AA7DE2E" w:rsidR="00FA33C9" w:rsidRPr="00073BD7" w:rsidRDefault="00FA33C9" w:rsidP="00FA33C9">
            <w:pPr>
              <w:jc w:val="center"/>
              <w:rPr>
                <w:b/>
                <w:bCs/>
                <w:color w:val="000000" w:themeColor="text1"/>
              </w:rPr>
            </w:pPr>
            <w:r w:rsidRPr="00073BD7">
              <w:rPr>
                <w:b/>
                <w:bCs/>
              </w:rPr>
              <w:t>FFY 2021 Target</w:t>
            </w:r>
          </w:p>
        </w:tc>
        <w:tc>
          <w:tcPr>
            <w:tcW w:w="503" w:type="pct"/>
            <w:shd w:val="clear" w:color="auto" w:fill="auto"/>
            <w:vAlign w:val="bottom"/>
          </w:tcPr>
          <w:p w14:paraId="29685ECA" w14:textId="050366A7" w:rsidR="00FA33C9" w:rsidRPr="00073BD7" w:rsidRDefault="00FA33C9" w:rsidP="00FA33C9">
            <w:pPr>
              <w:jc w:val="center"/>
              <w:rPr>
                <w:b/>
                <w:bCs/>
                <w:color w:val="000000" w:themeColor="text1"/>
              </w:rPr>
            </w:pPr>
            <w:r w:rsidRPr="00073BD7">
              <w:rPr>
                <w:b/>
                <w:bCs/>
              </w:rPr>
              <w:t>FFY 2021 Data</w:t>
            </w:r>
          </w:p>
        </w:tc>
        <w:tc>
          <w:tcPr>
            <w:tcW w:w="503" w:type="pct"/>
            <w:shd w:val="clear" w:color="auto" w:fill="auto"/>
            <w:vAlign w:val="bottom"/>
          </w:tcPr>
          <w:p w14:paraId="5E9D6295" w14:textId="7F28EB50" w:rsidR="00FA33C9" w:rsidRPr="00781112" w:rsidRDefault="00FA33C9" w:rsidP="00FA33C9">
            <w:pPr>
              <w:jc w:val="center"/>
              <w:rPr>
                <w:b/>
                <w:color w:val="000000" w:themeColor="text1"/>
              </w:rPr>
            </w:pPr>
            <w:r w:rsidRPr="00781112">
              <w:rPr>
                <w:b/>
                <w:color w:val="000000" w:themeColor="text1"/>
              </w:rPr>
              <w:t>Status</w:t>
            </w:r>
          </w:p>
        </w:tc>
        <w:tc>
          <w:tcPr>
            <w:tcW w:w="501" w:type="pct"/>
            <w:shd w:val="clear" w:color="auto" w:fill="auto"/>
            <w:vAlign w:val="bottom"/>
          </w:tcPr>
          <w:p w14:paraId="7898EF38" w14:textId="75DFA010" w:rsidR="00FA33C9" w:rsidRPr="00781112" w:rsidRDefault="00FA33C9" w:rsidP="00FA33C9">
            <w:pPr>
              <w:jc w:val="center"/>
              <w:rPr>
                <w:b/>
                <w:color w:val="000000" w:themeColor="text1"/>
              </w:rPr>
            </w:pPr>
            <w:r w:rsidRPr="00781112">
              <w:rPr>
                <w:b/>
                <w:color w:val="000000" w:themeColor="text1"/>
              </w:rPr>
              <w:t>Slippage</w:t>
            </w:r>
          </w:p>
        </w:tc>
      </w:tr>
      <w:tr w:rsidR="00AD0E97" w:rsidRPr="00781112" w14:paraId="7760B96D" w14:textId="1E1E2305" w:rsidTr="004B3F40">
        <w:tc>
          <w:tcPr>
            <w:tcW w:w="198" w:type="pct"/>
            <w:shd w:val="clear" w:color="auto" w:fill="auto"/>
            <w:vAlign w:val="center"/>
          </w:tcPr>
          <w:p w14:paraId="6F54F4BD" w14:textId="3AB2A2E6"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shd w:val="clear" w:color="auto" w:fill="auto"/>
            <w:vAlign w:val="center"/>
          </w:tcPr>
          <w:p w14:paraId="1AF12AAB" w14:textId="02722A5C"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shd w:val="clear" w:color="auto" w:fill="auto"/>
            <w:vAlign w:val="center"/>
          </w:tcPr>
          <w:p w14:paraId="0D75EC1C" w14:textId="5C94E807" w:rsidR="00AD0E97" w:rsidRPr="00781112" w:rsidRDefault="00AD0E97" w:rsidP="00AD0E97">
            <w:pPr>
              <w:jc w:val="center"/>
              <w:rPr>
                <w:rFonts w:cs="Arial"/>
                <w:color w:val="000000" w:themeColor="text1"/>
                <w:szCs w:val="16"/>
              </w:rPr>
            </w:pPr>
            <w:r w:rsidRPr="00781112">
              <w:rPr>
                <w:rFonts w:cs="Arial"/>
                <w:color w:val="000000"/>
                <w:szCs w:val="16"/>
              </w:rPr>
              <w:t>718</w:t>
            </w:r>
          </w:p>
        </w:tc>
        <w:tc>
          <w:tcPr>
            <w:tcW w:w="939" w:type="pct"/>
            <w:shd w:val="clear" w:color="auto" w:fill="auto"/>
            <w:vAlign w:val="center"/>
          </w:tcPr>
          <w:p w14:paraId="7E6A021B" w14:textId="57963DE4" w:rsidR="00AD0E97" w:rsidRPr="00781112" w:rsidRDefault="00AD0E97" w:rsidP="00AD0E97">
            <w:pPr>
              <w:jc w:val="center"/>
              <w:rPr>
                <w:rFonts w:cs="Arial"/>
                <w:color w:val="000000" w:themeColor="text1"/>
                <w:szCs w:val="16"/>
              </w:rPr>
            </w:pPr>
            <w:r w:rsidRPr="00781112">
              <w:rPr>
                <w:rFonts w:cs="Arial"/>
                <w:color w:val="000000" w:themeColor="text1"/>
                <w:szCs w:val="16"/>
              </w:rPr>
              <w:t>9,059</w:t>
            </w:r>
          </w:p>
        </w:tc>
        <w:tc>
          <w:tcPr>
            <w:tcW w:w="503" w:type="pct"/>
            <w:shd w:val="clear" w:color="auto" w:fill="auto"/>
            <w:vAlign w:val="center"/>
          </w:tcPr>
          <w:p w14:paraId="69FD37B5" w14:textId="09B40B87" w:rsidR="00AD0E97" w:rsidRPr="00781112" w:rsidRDefault="00AD0E97" w:rsidP="00AD0E97">
            <w:pPr>
              <w:jc w:val="center"/>
              <w:rPr>
                <w:rFonts w:cs="Arial"/>
                <w:color w:val="000000" w:themeColor="text1"/>
                <w:szCs w:val="16"/>
              </w:rPr>
            </w:pPr>
            <w:r w:rsidRPr="00781112">
              <w:rPr>
                <w:rFonts w:cs="Arial"/>
                <w:color w:val="000000" w:themeColor="text1"/>
                <w:szCs w:val="16"/>
              </w:rPr>
              <w:t>7.00%</w:t>
            </w:r>
          </w:p>
        </w:tc>
        <w:tc>
          <w:tcPr>
            <w:tcW w:w="503" w:type="pct"/>
            <w:shd w:val="clear" w:color="auto" w:fill="auto"/>
            <w:vAlign w:val="center"/>
          </w:tcPr>
          <w:p w14:paraId="482B7D09" w14:textId="62AFAA78" w:rsidR="00AD0E97" w:rsidRPr="00781112" w:rsidRDefault="00AD0E97" w:rsidP="00AD0E97">
            <w:pPr>
              <w:jc w:val="center"/>
              <w:rPr>
                <w:rFonts w:cs="Arial"/>
                <w:color w:val="000000" w:themeColor="text1"/>
                <w:szCs w:val="16"/>
              </w:rPr>
            </w:pPr>
            <w:r w:rsidRPr="00781112">
              <w:rPr>
                <w:rFonts w:cs="Arial"/>
                <w:color w:val="000000" w:themeColor="text1"/>
                <w:szCs w:val="16"/>
              </w:rPr>
              <w:t>7.49%</w:t>
            </w:r>
          </w:p>
        </w:tc>
        <w:tc>
          <w:tcPr>
            <w:tcW w:w="503" w:type="pct"/>
            <w:shd w:val="clear" w:color="auto" w:fill="auto"/>
            <w:vAlign w:val="center"/>
          </w:tcPr>
          <w:p w14:paraId="120D94C1" w14:textId="45B7E096" w:rsidR="00AD0E97" w:rsidRPr="00781112" w:rsidRDefault="00AD0E97" w:rsidP="00AD0E97">
            <w:pPr>
              <w:jc w:val="center"/>
              <w:rPr>
                <w:rFonts w:cs="Arial"/>
                <w:color w:val="000000" w:themeColor="text1"/>
                <w:szCs w:val="16"/>
              </w:rPr>
            </w:pPr>
            <w:r w:rsidRPr="00781112">
              <w:rPr>
                <w:rFonts w:cs="Arial"/>
                <w:color w:val="000000" w:themeColor="text1"/>
                <w:szCs w:val="16"/>
              </w:rPr>
              <w:t>7.93%</w:t>
            </w:r>
          </w:p>
        </w:tc>
        <w:tc>
          <w:tcPr>
            <w:tcW w:w="503" w:type="pct"/>
            <w:shd w:val="clear" w:color="auto" w:fill="auto"/>
            <w:vAlign w:val="center"/>
          </w:tcPr>
          <w:p w14:paraId="4C985877" w14:textId="6C415586" w:rsidR="00AD0E97" w:rsidRPr="00781112" w:rsidRDefault="00AD0E97" w:rsidP="00AD0E97">
            <w:pPr>
              <w:jc w:val="center"/>
              <w:rPr>
                <w:rFonts w:cs="Arial"/>
                <w:color w:val="000000" w:themeColor="text1"/>
                <w:szCs w:val="16"/>
              </w:rPr>
            </w:pPr>
            <w:r w:rsidRPr="00781112">
              <w:rPr>
                <w:rFonts w:cs="Arial"/>
                <w:color w:val="000000" w:themeColor="text1"/>
                <w:szCs w:val="16"/>
              </w:rPr>
              <w:t>Met target</w:t>
            </w:r>
          </w:p>
        </w:tc>
        <w:tc>
          <w:tcPr>
            <w:tcW w:w="501" w:type="pct"/>
            <w:shd w:val="clear" w:color="auto" w:fill="auto"/>
            <w:vAlign w:val="center"/>
          </w:tcPr>
          <w:p w14:paraId="05322B0C" w14:textId="7DA1FCC0"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7A5387EE" w14:textId="77777777" w:rsidTr="004B3F40">
        <w:tc>
          <w:tcPr>
            <w:tcW w:w="198" w:type="pct"/>
            <w:shd w:val="clear" w:color="auto" w:fill="auto"/>
            <w:vAlign w:val="center"/>
          </w:tcPr>
          <w:p w14:paraId="729AFDF4" w14:textId="72203283"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shd w:val="clear" w:color="auto" w:fill="auto"/>
            <w:vAlign w:val="center"/>
          </w:tcPr>
          <w:p w14:paraId="33B7C97E" w14:textId="6E25E05B"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shd w:val="clear" w:color="auto" w:fill="auto"/>
            <w:vAlign w:val="center"/>
          </w:tcPr>
          <w:p w14:paraId="3F0D6576" w14:textId="39D13C81" w:rsidR="00AD0E97" w:rsidRPr="00781112" w:rsidRDefault="00AD0E97" w:rsidP="00AD0E97">
            <w:pPr>
              <w:jc w:val="center"/>
              <w:rPr>
                <w:rFonts w:cs="Arial"/>
                <w:color w:val="000000" w:themeColor="text1"/>
                <w:szCs w:val="16"/>
              </w:rPr>
            </w:pPr>
            <w:r w:rsidRPr="00781112">
              <w:rPr>
                <w:rFonts w:cs="Arial"/>
                <w:color w:val="000000"/>
                <w:szCs w:val="16"/>
              </w:rPr>
              <w:t>402</w:t>
            </w:r>
          </w:p>
        </w:tc>
        <w:tc>
          <w:tcPr>
            <w:tcW w:w="939" w:type="pct"/>
            <w:shd w:val="clear" w:color="auto" w:fill="auto"/>
            <w:vAlign w:val="center"/>
          </w:tcPr>
          <w:p w14:paraId="7FFA4863" w14:textId="2B0AF130" w:rsidR="00AD0E97" w:rsidRPr="00781112" w:rsidRDefault="00AD0E97" w:rsidP="00AD0E97">
            <w:pPr>
              <w:jc w:val="center"/>
              <w:rPr>
                <w:rFonts w:cs="Arial"/>
                <w:color w:val="000000" w:themeColor="text1"/>
                <w:szCs w:val="16"/>
              </w:rPr>
            </w:pPr>
            <w:r w:rsidRPr="00781112">
              <w:rPr>
                <w:rFonts w:cs="Arial"/>
                <w:color w:val="000000" w:themeColor="text1"/>
                <w:szCs w:val="16"/>
              </w:rPr>
              <w:t>8,168</w:t>
            </w:r>
          </w:p>
        </w:tc>
        <w:tc>
          <w:tcPr>
            <w:tcW w:w="503" w:type="pct"/>
            <w:shd w:val="clear" w:color="auto" w:fill="auto"/>
            <w:vAlign w:val="center"/>
          </w:tcPr>
          <w:p w14:paraId="3FB80D14" w14:textId="17D00589" w:rsidR="00AD0E97" w:rsidRPr="00781112" w:rsidRDefault="00AD0E97" w:rsidP="00AD0E97">
            <w:pPr>
              <w:jc w:val="center"/>
              <w:rPr>
                <w:rFonts w:cs="Arial"/>
                <w:color w:val="000000" w:themeColor="text1"/>
                <w:szCs w:val="16"/>
              </w:rPr>
            </w:pPr>
            <w:r w:rsidRPr="00781112">
              <w:rPr>
                <w:rFonts w:cs="Arial"/>
                <w:color w:val="000000" w:themeColor="text1"/>
                <w:szCs w:val="16"/>
              </w:rPr>
              <w:t>4.46%</w:t>
            </w:r>
          </w:p>
        </w:tc>
        <w:tc>
          <w:tcPr>
            <w:tcW w:w="503" w:type="pct"/>
            <w:shd w:val="clear" w:color="auto" w:fill="auto"/>
            <w:vAlign w:val="center"/>
          </w:tcPr>
          <w:p w14:paraId="12DA8FB6" w14:textId="2A9832BB" w:rsidR="00AD0E97" w:rsidRPr="00781112" w:rsidRDefault="00AD0E97" w:rsidP="00AD0E97">
            <w:pPr>
              <w:jc w:val="center"/>
              <w:rPr>
                <w:rFonts w:cs="Arial"/>
                <w:color w:val="000000" w:themeColor="text1"/>
                <w:szCs w:val="16"/>
              </w:rPr>
            </w:pPr>
            <w:r w:rsidRPr="00781112">
              <w:rPr>
                <w:rFonts w:cs="Arial"/>
                <w:color w:val="000000" w:themeColor="text1"/>
                <w:szCs w:val="16"/>
              </w:rPr>
              <w:t>4.77%</w:t>
            </w:r>
          </w:p>
        </w:tc>
        <w:tc>
          <w:tcPr>
            <w:tcW w:w="503" w:type="pct"/>
            <w:shd w:val="clear" w:color="auto" w:fill="auto"/>
            <w:vAlign w:val="center"/>
          </w:tcPr>
          <w:p w14:paraId="65C7EB9E" w14:textId="563BFA26" w:rsidR="00AD0E97" w:rsidRPr="00781112" w:rsidRDefault="00AD0E97" w:rsidP="00AD0E97">
            <w:pPr>
              <w:jc w:val="center"/>
              <w:rPr>
                <w:rFonts w:cs="Arial"/>
                <w:color w:val="000000" w:themeColor="text1"/>
                <w:szCs w:val="16"/>
              </w:rPr>
            </w:pPr>
            <w:r w:rsidRPr="00781112">
              <w:rPr>
                <w:rFonts w:cs="Arial"/>
                <w:color w:val="000000" w:themeColor="text1"/>
                <w:szCs w:val="16"/>
              </w:rPr>
              <w:t>4.92%</w:t>
            </w:r>
          </w:p>
        </w:tc>
        <w:tc>
          <w:tcPr>
            <w:tcW w:w="503" w:type="pct"/>
            <w:shd w:val="clear" w:color="auto" w:fill="auto"/>
            <w:vAlign w:val="center"/>
          </w:tcPr>
          <w:p w14:paraId="41A6F692" w14:textId="65CC6347" w:rsidR="00AD0E97" w:rsidRPr="00781112" w:rsidRDefault="00AD0E97" w:rsidP="00AD0E97">
            <w:pPr>
              <w:jc w:val="center"/>
              <w:rPr>
                <w:rFonts w:cs="Arial"/>
                <w:color w:val="000000" w:themeColor="text1"/>
                <w:szCs w:val="16"/>
              </w:rPr>
            </w:pPr>
            <w:r w:rsidRPr="00781112">
              <w:rPr>
                <w:rFonts w:cs="Arial"/>
                <w:color w:val="000000" w:themeColor="text1"/>
                <w:szCs w:val="16"/>
              </w:rPr>
              <w:t>Met target</w:t>
            </w:r>
          </w:p>
        </w:tc>
        <w:tc>
          <w:tcPr>
            <w:tcW w:w="501" w:type="pct"/>
            <w:shd w:val="clear" w:color="auto" w:fill="auto"/>
            <w:vAlign w:val="center"/>
          </w:tcPr>
          <w:p w14:paraId="3D4E27A4" w14:textId="7BDAA77C"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26B346DD" w14:textId="77777777" w:rsidTr="004B3F40">
        <w:tc>
          <w:tcPr>
            <w:tcW w:w="198" w:type="pct"/>
            <w:shd w:val="clear" w:color="auto" w:fill="auto"/>
            <w:vAlign w:val="center"/>
          </w:tcPr>
          <w:p w14:paraId="2B13C665" w14:textId="583EB28A"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shd w:val="clear" w:color="auto" w:fill="auto"/>
            <w:vAlign w:val="center"/>
          </w:tcPr>
          <w:p w14:paraId="6D97D346" w14:textId="75AC25C8"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shd w:val="clear" w:color="auto" w:fill="auto"/>
            <w:vAlign w:val="center"/>
          </w:tcPr>
          <w:p w14:paraId="30AED5C7" w14:textId="5DD38D7C" w:rsidR="00AD0E97" w:rsidRPr="00781112" w:rsidRDefault="00AD0E97" w:rsidP="00AD0E97">
            <w:pPr>
              <w:jc w:val="center"/>
              <w:rPr>
                <w:rFonts w:cs="Arial"/>
                <w:color w:val="000000" w:themeColor="text1"/>
                <w:szCs w:val="16"/>
              </w:rPr>
            </w:pPr>
            <w:r w:rsidRPr="00781112">
              <w:rPr>
                <w:rFonts w:cs="Arial"/>
                <w:color w:val="000000"/>
                <w:szCs w:val="16"/>
              </w:rPr>
              <w:t>553</w:t>
            </w:r>
          </w:p>
        </w:tc>
        <w:tc>
          <w:tcPr>
            <w:tcW w:w="939" w:type="pct"/>
            <w:shd w:val="clear" w:color="auto" w:fill="auto"/>
            <w:vAlign w:val="center"/>
          </w:tcPr>
          <w:p w14:paraId="3E4BF8E7" w14:textId="17E7C017" w:rsidR="00AD0E97" w:rsidRPr="00781112" w:rsidRDefault="00AD0E97" w:rsidP="00AD0E97">
            <w:pPr>
              <w:jc w:val="center"/>
              <w:rPr>
                <w:rFonts w:cs="Arial"/>
                <w:color w:val="000000" w:themeColor="text1"/>
                <w:szCs w:val="16"/>
              </w:rPr>
            </w:pPr>
            <w:r w:rsidRPr="00781112">
              <w:rPr>
                <w:rFonts w:cs="Arial"/>
                <w:color w:val="000000" w:themeColor="text1"/>
                <w:szCs w:val="16"/>
              </w:rPr>
              <w:t>6,009</w:t>
            </w:r>
          </w:p>
        </w:tc>
        <w:tc>
          <w:tcPr>
            <w:tcW w:w="503" w:type="pct"/>
            <w:shd w:val="clear" w:color="auto" w:fill="auto"/>
            <w:vAlign w:val="center"/>
          </w:tcPr>
          <w:p w14:paraId="039885F2" w14:textId="68486387" w:rsidR="00AD0E97" w:rsidRPr="00781112" w:rsidRDefault="00AD0E97" w:rsidP="00AD0E97">
            <w:pPr>
              <w:jc w:val="center"/>
              <w:rPr>
                <w:rFonts w:cs="Arial"/>
                <w:color w:val="000000" w:themeColor="text1"/>
                <w:szCs w:val="16"/>
              </w:rPr>
            </w:pPr>
            <w:r w:rsidRPr="00781112">
              <w:rPr>
                <w:rFonts w:cs="Arial"/>
                <w:color w:val="000000" w:themeColor="text1"/>
                <w:szCs w:val="16"/>
              </w:rPr>
              <w:t>5.93%</w:t>
            </w:r>
          </w:p>
        </w:tc>
        <w:tc>
          <w:tcPr>
            <w:tcW w:w="503" w:type="pct"/>
            <w:shd w:val="clear" w:color="auto" w:fill="auto"/>
            <w:vAlign w:val="center"/>
          </w:tcPr>
          <w:p w14:paraId="0D574818" w14:textId="0B8E29B8" w:rsidR="00AD0E97" w:rsidRPr="00781112" w:rsidRDefault="00AD0E97" w:rsidP="00AD0E97">
            <w:pPr>
              <w:jc w:val="center"/>
              <w:rPr>
                <w:rFonts w:cs="Arial"/>
                <w:color w:val="000000" w:themeColor="text1"/>
                <w:szCs w:val="16"/>
              </w:rPr>
            </w:pPr>
            <w:r w:rsidRPr="00781112">
              <w:rPr>
                <w:rFonts w:cs="Arial"/>
                <w:color w:val="000000" w:themeColor="text1"/>
                <w:szCs w:val="16"/>
              </w:rPr>
              <w:t>6.35%</w:t>
            </w:r>
          </w:p>
        </w:tc>
        <w:tc>
          <w:tcPr>
            <w:tcW w:w="503" w:type="pct"/>
            <w:shd w:val="clear" w:color="auto" w:fill="auto"/>
            <w:vAlign w:val="center"/>
          </w:tcPr>
          <w:p w14:paraId="68757684" w14:textId="14D897E8" w:rsidR="00AD0E97" w:rsidRPr="00781112" w:rsidRDefault="00AD0E97" w:rsidP="00AD0E97">
            <w:pPr>
              <w:jc w:val="center"/>
              <w:rPr>
                <w:rFonts w:cs="Arial"/>
                <w:color w:val="000000" w:themeColor="text1"/>
                <w:szCs w:val="16"/>
              </w:rPr>
            </w:pPr>
            <w:r w:rsidRPr="00781112">
              <w:rPr>
                <w:rFonts w:cs="Arial"/>
                <w:color w:val="000000" w:themeColor="text1"/>
                <w:szCs w:val="16"/>
              </w:rPr>
              <w:t>9.20%</w:t>
            </w:r>
          </w:p>
        </w:tc>
        <w:tc>
          <w:tcPr>
            <w:tcW w:w="503" w:type="pct"/>
            <w:shd w:val="clear" w:color="auto" w:fill="auto"/>
            <w:vAlign w:val="center"/>
          </w:tcPr>
          <w:p w14:paraId="7D508FD3" w14:textId="5052E8AD" w:rsidR="00AD0E97" w:rsidRPr="00781112" w:rsidRDefault="00AD0E97" w:rsidP="00AD0E97">
            <w:pPr>
              <w:jc w:val="center"/>
              <w:rPr>
                <w:rFonts w:cs="Arial"/>
                <w:color w:val="000000" w:themeColor="text1"/>
                <w:szCs w:val="16"/>
              </w:rPr>
            </w:pPr>
            <w:r w:rsidRPr="00781112">
              <w:rPr>
                <w:rFonts w:cs="Arial"/>
                <w:color w:val="000000" w:themeColor="text1"/>
                <w:szCs w:val="16"/>
              </w:rPr>
              <w:t>Met target</w:t>
            </w:r>
          </w:p>
        </w:tc>
        <w:tc>
          <w:tcPr>
            <w:tcW w:w="501" w:type="pct"/>
            <w:shd w:val="clear" w:color="auto" w:fill="auto"/>
            <w:vAlign w:val="center"/>
          </w:tcPr>
          <w:p w14:paraId="16AA84BF" w14:textId="66A4BF3F"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bl>
    <w:p w14:paraId="6907CCA3" w14:textId="77777777" w:rsidR="00C04118" w:rsidRPr="00781112" w:rsidRDefault="00C04118" w:rsidP="002423F2">
      <w:pPr>
        <w:rPr>
          <w:rFonts w:cs="Arial"/>
          <w:iCs/>
          <w:color w:val="000000" w:themeColor="text1"/>
          <w:szCs w:val="16"/>
        </w:rPr>
      </w:pPr>
    </w:p>
    <w:p w14:paraId="1E0C977F" w14:textId="77777777" w:rsidR="005004AB" w:rsidRPr="00781112" w:rsidRDefault="005004AB" w:rsidP="005004AB">
      <w:pPr>
        <w:rPr>
          <w:color w:val="000000" w:themeColor="text1"/>
        </w:rPr>
      </w:pPr>
    </w:p>
    <w:p w14:paraId="324457C6" w14:textId="6E85C345" w:rsidR="00497DE4" w:rsidRPr="00781112" w:rsidRDefault="0047313F" w:rsidP="004369B2">
      <w:pPr>
        <w:rPr>
          <w:b/>
          <w:color w:val="000000" w:themeColor="text1"/>
        </w:rPr>
      </w:pPr>
      <w:r>
        <w:rPr>
          <w:b/>
          <w:color w:val="000000" w:themeColor="text1"/>
        </w:rPr>
        <w:t>FFY 2021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FA33C9" w:rsidRPr="00781112" w14:paraId="1ECD1184" w14:textId="77777777" w:rsidTr="00242D8A">
        <w:trPr>
          <w:tblHeader/>
          <w:jc w:val="center"/>
        </w:trPr>
        <w:tc>
          <w:tcPr>
            <w:tcW w:w="223" w:type="pct"/>
            <w:shd w:val="clear" w:color="auto" w:fill="auto"/>
            <w:vAlign w:val="bottom"/>
          </w:tcPr>
          <w:p w14:paraId="2B938423" w14:textId="01A79B33" w:rsidR="00FA33C9" w:rsidRPr="00781112" w:rsidRDefault="00FA33C9" w:rsidP="00FA33C9">
            <w:pPr>
              <w:jc w:val="center"/>
              <w:rPr>
                <w:b/>
                <w:color w:val="000000" w:themeColor="text1"/>
              </w:rPr>
            </w:pPr>
            <w:r w:rsidRPr="00781112">
              <w:rPr>
                <w:b/>
                <w:color w:val="000000" w:themeColor="text1"/>
              </w:rPr>
              <w:lastRenderedPageBreak/>
              <w:t>Group</w:t>
            </w:r>
          </w:p>
        </w:tc>
        <w:tc>
          <w:tcPr>
            <w:tcW w:w="486" w:type="pct"/>
            <w:shd w:val="clear" w:color="auto" w:fill="auto"/>
            <w:vAlign w:val="bottom"/>
          </w:tcPr>
          <w:p w14:paraId="45BFCF3F" w14:textId="3F4AB58B" w:rsidR="00FA33C9" w:rsidRPr="00781112" w:rsidRDefault="00FA33C9" w:rsidP="00FA33C9">
            <w:pPr>
              <w:jc w:val="center"/>
              <w:rPr>
                <w:b/>
                <w:color w:val="000000" w:themeColor="text1"/>
              </w:rPr>
            </w:pPr>
            <w:r w:rsidRPr="00781112">
              <w:rPr>
                <w:b/>
                <w:color w:val="000000" w:themeColor="text1"/>
              </w:rPr>
              <w:t>Group Name</w:t>
            </w:r>
          </w:p>
        </w:tc>
        <w:tc>
          <w:tcPr>
            <w:tcW w:w="896" w:type="pct"/>
            <w:shd w:val="clear" w:color="auto" w:fill="auto"/>
          </w:tcPr>
          <w:p w14:paraId="5541073C" w14:textId="30C0F75E" w:rsidR="00FA33C9" w:rsidRPr="00781112" w:rsidRDefault="00FA33C9" w:rsidP="00FA33C9">
            <w:pPr>
              <w:jc w:val="center"/>
              <w:rPr>
                <w:b/>
                <w:color w:val="000000" w:themeColor="text1"/>
              </w:rPr>
            </w:pPr>
            <w:r w:rsidRPr="00781112">
              <w:rPr>
                <w:b/>
                <w:bCs/>
              </w:rPr>
              <w:t>Number of Children with IEPs Scoring At or Above Proficient Against Grade Level Academic Achievement Standards</w:t>
            </w:r>
          </w:p>
        </w:tc>
        <w:tc>
          <w:tcPr>
            <w:tcW w:w="896" w:type="pct"/>
            <w:shd w:val="clear" w:color="auto" w:fill="auto"/>
          </w:tcPr>
          <w:p w14:paraId="3ABF5E71" w14:textId="763F0C86" w:rsidR="00FA33C9" w:rsidRPr="00781112" w:rsidRDefault="00FA33C9" w:rsidP="00FA33C9">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shd w:val="clear" w:color="auto" w:fill="auto"/>
            <w:vAlign w:val="bottom"/>
          </w:tcPr>
          <w:p w14:paraId="5A96E021" w14:textId="1CA12D86" w:rsidR="00FA33C9" w:rsidRPr="00073BD7" w:rsidRDefault="00FA33C9" w:rsidP="00FA33C9">
            <w:pPr>
              <w:jc w:val="center"/>
              <w:rPr>
                <w:b/>
                <w:bCs/>
                <w:color w:val="000000" w:themeColor="text1"/>
              </w:rPr>
            </w:pPr>
            <w:r w:rsidRPr="00073BD7">
              <w:rPr>
                <w:b/>
                <w:bCs/>
              </w:rPr>
              <w:t>FFY 2020 Data</w:t>
            </w:r>
          </w:p>
        </w:tc>
        <w:tc>
          <w:tcPr>
            <w:tcW w:w="500" w:type="pct"/>
            <w:shd w:val="clear" w:color="auto" w:fill="auto"/>
            <w:vAlign w:val="bottom"/>
          </w:tcPr>
          <w:p w14:paraId="69212BFA" w14:textId="6E5C201B" w:rsidR="00FA33C9" w:rsidRPr="00073BD7" w:rsidRDefault="00FA33C9" w:rsidP="00FA33C9">
            <w:pPr>
              <w:jc w:val="center"/>
              <w:rPr>
                <w:b/>
                <w:bCs/>
                <w:color w:val="000000" w:themeColor="text1"/>
              </w:rPr>
            </w:pPr>
            <w:r w:rsidRPr="00073BD7">
              <w:rPr>
                <w:b/>
                <w:bCs/>
              </w:rPr>
              <w:t>FFY 2021 Target</w:t>
            </w:r>
          </w:p>
        </w:tc>
        <w:tc>
          <w:tcPr>
            <w:tcW w:w="500" w:type="pct"/>
            <w:shd w:val="clear" w:color="auto" w:fill="auto"/>
            <w:vAlign w:val="bottom"/>
          </w:tcPr>
          <w:p w14:paraId="38A0F56E" w14:textId="5F488F03" w:rsidR="00FA33C9" w:rsidRPr="00073BD7" w:rsidRDefault="00FA33C9" w:rsidP="00FA33C9">
            <w:pPr>
              <w:jc w:val="center"/>
              <w:rPr>
                <w:b/>
                <w:bCs/>
                <w:color w:val="000000" w:themeColor="text1"/>
              </w:rPr>
            </w:pPr>
            <w:r w:rsidRPr="00073BD7">
              <w:rPr>
                <w:b/>
                <w:bCs/>
              </w:rPr>
              <w:t>FFY 2021 Data</w:t>
            </w:r>
          </w:p>
        </w:tc>
        <w:tc>
          <w:tcPr>
            <w:tcW w:w="500" w:type="pct"/>
            <w:shd w:val="clear" w:color="auto" w:fill="auto"/>
            <w:vAlign w:val="bottom"/>
          </w:tcPr>
          <w:p w14:paraId="11F44E1D" w14:textId="39A61F57" w:rsidR="00FA33C9" w:rsidRPr="00781112" w:rsidRDefault="00FA33C9" w:rsidP="00FA33C9">
            <w:pPr>
              <w:jc w:val="center"/>
              <w:rPr>
                <w:b/>
                <w:color w:val="000000" w:themeColor="text1"/>
              </w:rPr>
            </w:pPr>
            <w:r w:rsidRPr="00781112">
              <w:rPr>
                <w:b/>
                <w:color w:val="000000" w:themeColor="text1"/>
              </w:rPr>
              <w:t>Status</w:t>
            </w:r>
          </w:p>
        </w:tc>
        <w:tc>
          <w:tcPr>
            <w:tcW w:w="499" w:type="pct"/>
            <w:shd w:val="clear" w:color="auto" w:fill="auto"/>
            <w:vAlign w:val="bottom"/>
          </w:tcPr>
          <w:p w14:paraId="64655725" w14:textId="350D326F" w:rsidR="00FA33C9" w:rsidRPr="00781112" w:rsidRDefault="00FA33C9" w:rsidP="00FA33C9">
            <w:pPr>
              <w:jc w:val="center"/>
              <w:rPr>
                <w:b/>
                <w:color w:val="000000" w:themeColor="text1"/>
              </w:rPr>
            </w:pPr>
            <w:r w:rsidRPr="00781112">
              <w:rPr>
                <w:b/>
                <w:color w:val="000000" w:themeColor="text1"/>
              </w:rPr>
              <w:t>Slippage</w:t>
            </w:r>
          </w:p>
        </w:tc>
      </w:tr>
      <w:tr w:rsidR="00242D8A" w:rsidRPr="00781112" w14:paraId="14220C43" w14:textId="77777777" w:rsidTr="00242D8A">
        <w:trPr>
          <w:jc w:val="center"/>
        </w:trPr>
        <w:tc>
          <w:tcPr>
            <w:tcW w:w="223" w:type="pct"/>
            <w:shd w:val="clear" w:color="auto" w:fill="auto"/>
            <w:vAlign w:val="center"/>
          </w:tcPr>
          <w:p w14:paraId="16A9CDD2" w14:textId="5DBA3D3A"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shd w:val="clear" w:color="auto" w:fill="auto"/>
            <w:vAlign w:val="center"/>
          </w:tcPr>
          <w:p w14:paraId="1392C443" w14:textId="646DC1A9"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shd w:val="clear" w:color="auto" w:fill="auto"/>
            <w:vAlign w:val="center"/>
          </w:tcPr>
          <w:p w14:paraId="0B49B780" w14:textId="151DA31E" w:rsidR="00242D8A" w:rsidRPr="00781112" w:rsidRDefault="00242D8A" w:rsidP="00242D8A">
            <w:pPr>
              <w:jc w:val="center"/>
              <w:rPr>
                <w:rFonts w:cs="Arial"/>
                <w:color w:val="000000" w:themeColor="text1"/>
                <w:szCs w:val="16"/>
              </w:rPr>
            </w:pPr>
            <w:r w:rsidRPr="00781112">
              <w:rPr>
                <w:rFonts w:cs="Arial"/>
                <w:color w:val="000000" w:themeColor="text1"/>
                <w:szCs w:val="16"/>
              </w:rPr>
              <w:t>1,352</w:t>
            </w:r>
          </w:p>
        </w:tc>
        <w:tc>
          <w:tcPr>
            <w:tcW w:w="896" w:type="pct"/>
            <w:shd w:val="clear" w:color="auto" w:fill="auto"/>
            <w:vAlign w:val="center"/>
          </w:tcPr>
          <w:p w14:paraId="2611648C" w14:textId="77D930AD" w:rsidR="00242D8A" w:rsidRPr="00781112" w:rsidRDefault="00242D8A" w:rsidP="00242D8A">
            <w:pPr>
              <w:jc w:val="center"/>
              <w:rPr>
                <w:rFonts w:cs="Arial"/>
                <w:color w:val="000000" w:themeColor="text1"/>
                <w:szCs w:val="16"/>
              </w:rPr>
            </w:pPr>
            <w:r w:rsidRPr="00242D8A">
              <w:rPr>
                <w:rFonts w:cs="Arial"/>
                <w:color w:val="000000" w:themeColor="text1"/>
                <w:szCs w:val="16"/>
              </w:rPr>
              <w:t>9,050</w:t>
            </w:r>
          </w:p>
        </w:tc>
        <w:tc>
          <w:tcPr>
            <w:tcW w:w="500" w:type="pct"/>
            <w:shd w:val="clear" w:color="auto" w:fill="auto"/>
            <w:vAlign w:val="center"/>
          </w:tcPr>
          <w:p w14:paraId="044B076F" w14:textId="2D73EFD2" w:rsidR="00242D8A" w:rsidRPr="00781112" w:rsidRDefault="00242D8A" w:rsidP="00242D8A">
            <w:pPr>
              <w:jc w:val="center"/>
              <w:rPr>
                <w:rFonts w:cs="Arial"/>
                <w:color w:val="000000" w:themeColor="text1"/>
                <w:szCs w:val="16"/>
              </w:rPr>
            </w:pPr>
            <w:r w:rsidRPr="00781112">
              <w:rPr>
                <w:rFonts w:cs="Arial"/>
                <w:color w:val="000000" w:themeColor="text1"/>
                <w:szCs w:val="16"/>
              </w:rPr>
              <w:t>11.45%</w:t>
            </w:r>
          </w:p>
        </w:tc>
        <w:tc>
          <w:tcPr>
            <w:tcW w:w="500" w:type="pct"/>
            <w:shd w:val="clear" w:color="auto" w:fill="auto"/>
            <w:vAlign w:val="center"/>
          </w:tcPr>
          <w:p w14:paraId="4D68E61F" w14:textId="36DB0B83" w:rsidR="00242D8A" w:rsidRPr="00781112" w:rsidRDefault="00242D8A" w:rsidP="00242D8A">
            <w:pPr>
              <w:jc w:val="center"/>
              <w:rPr>
                <w:rFonts w:cs="Arial"/>
                <w:color w:val="000000" w:themeColor="text1"/>
                <w:szCs w:val="16"/>
              </w:rPr>
            </w:pPr>
            <w:r w:rsidRPr="00781112">
              <w:rPr>
                <w:rFonts w:cs="Arial"/>
                <w:color w:val="000000" w:themeColor="text1"/>
                <w:szCs w:val="16"/>
              </w:rPr>
              <w:t>12.25%</w:t>
            </w:r>
          </w:p>
        </w:tc>
        <w:tc>
          <w:tcPr>
            <w:tcW w:w="500" w:type="pct"/>
            <w:shd w:val="clear" w:color="auto" w:fill="auto"/>
            <w:vAlign w:val="center"/>
          </w:tcPr>
          <w:p w14:paraId="4C5100F6" w14:textId="23EB35C9" w:rsidR="00242D8A" w:rsidRPr="00781112" w:rsidRDefault="00242D8A" w:rsidP="00242D8A">
            <w:pPr>
              <w:jc w:val="center"/>
              <w:rPr>
                <w:rFonts w:cs="Arial"/>
                <w:color w:val="000000" w:themeColor="text1"/>
                <w:szCs w:val="16"/>
              </w:rPr>
            </w:pPr>
            <w:r w:rsidRPr="00781112">
              <w:rPr>
                <w:rFonts w:cs="Arial"/>
                <w:color w:val="000000" w:themeColor="text1"/>
                <w:szCs w:val="16"/>
              </w:rPr>
              <w:t>14.94%</w:t>
            </w:r>
          </w:p>
        </w:tc>
        <w:tc>
          <w:tcPr>
            <w:tcW w:w="500" w:type="pct"/>
            <w:shd w:val="clear" w:color="auto" w:fill="auto"/>
            <w:vAlign w:val="center"/>
          </w:tcPr>
          <w:p w14:paraId="5A9EC511" w14:textId="6D6B7DF8" w:rsidR="00242D8A" w:rsidRPr="00781112" w:rsidRDefault="00242D8A" w:rsidP="00242D8A">
            <w:pPr>
              <w:jc w:val="center"/>
              <w:rPr>
                <w:rFonts w:cs="Arial"/>
                <w:color w:val="000000" w:themeColor="text1"/>
                <w:szCs w:val="16"/>
              </w:rPr>
            </w:pPr>
            <w:r w:rsidRPr="00781112">
              <w:rPr>
                <w:rFonts w:cs="Arial"/>
                <w:color w:val="000000" w:themeColor="text1"/>
                <w:szCs w:val="16"/>
              </w:rPr>
              <w:t>Met target</w:t>
            </w:r>
          </w:p>
        </w:tc>
        <w:tc>
          <w:tcPr>
            <w:tcW w:w="499" w:type="pct"/>
            <w:shd w:val="clear" w:color="auto" w:fill="auto"/>
            <w:vAlign w:val="center"/>
          </w:tcPr>
          <w:p w14:paraId="17FB0601" w14:textId="6AA7FF5B"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33C5CE6C" w14:textId="77777777" w:rsidTr="00242D8A">
        <w:trPr>
          <w:jc w:val="center"/>
        </w:trPr>
        <w:tc>
          <w:tcPr>
            <w:tcW w:w="223" w:type="pct"/>
            <w:shd w:val="clear" w:color="auto" w:fill="auto"/>
            <w:vAlign w:val="center"/>
          </w:tcPr>
          <w:p w14:paraId="17123B1B" w14:textId="50BB2C71"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shd w:val="clear" w:color="auto" w:fill="auto"/>
            <w:vAlign w:val="center"/>
          </w:tcPr>
          <w:p w14:paraId="45DA42B4" w14:textId="04F51E55"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shd w:val="clear" w:color="auto" w:fill="auto"/>
            <w:vAlign w:val="center"/>
          </w:tcPr>
          <w:p w14:paraId="31722F1C" w14:textId="2D076448" w:rsidR="00242D8A" w:rsidRPr="00781112" w:rsidRDefault="00242D8A" w:rsidP="00242D8A">
            <w:pPr>
              <w:jc w:val="center"/>
              <w:rPr>
                <w:rFonts w:cs="Arial"/>
                <w:color w:val="000000" w:themeColor="text1"/>
                <w:szCs w:val="16"/>
              </w:rPr>
            </w:pPr>
            <w:r w:rsidRPr="00781112">
              <w:rPr>
                <w:rFonts w:cs="Arial"/>
                <w:color w:val="000000" w:themeColor="text1"/>
                <w:szCs w:val="16"/>
              </w:rPr>
              <w:t>232</w:t>
            </w:r>
          </w:p>
        </w:tc>
        <w:tc>
          <w:tcPr>
            <w:tcW w:w="896" w:type="pct"/>
            <w:shd w:val="clear" w:color="auto" w:fill="auto"/>
            <w:vAlign w:val="center"/>
          </w:tcPr>
          <w:p w14:paraId="048616C6" w14:textId="622D5B53" w:rsidR="00242D8A" w:rsidRPr="00781112" w:rsidRDefault="00242D8A" w:rsidP="00242D8A">
            <w:pPr>
              <w:jc w:val="center"/>
              <w:rPr>
                <w:rFonts w:cs="Arial"/>
                <w:color w:val="000000" w:themeColor="text1"/>
                <w:szCs w:val="16"/>
              </w:rPr>
            </w:pPr>
            <w:r w:rsidRPr="00242D8A">
              <w:rPr>
                <w:rFonts w:cs="Arial"/>
                <w:color w:val="000000" w:themeColor="text1"/>
                <w:szCs w:val="16"/>
              </w:rPr>
              <w:t>8,137</w:t>
            </w:r>
          </w:p>
        </w:tc>
        <w:tc>
          <w:tcPr>
            <w:tcW w:w="500" w:type="pct"/>
            <w:shd w:val="clear" w:color="auto" w:fill="auto"/>
            <w:vAlign w:val="center"/>
          </w:tcPr>
          <w:p w14:paraId="272455FD" w14:textId="25614537" w:rsidR="00242D8A" w:rsidRPr="00781112" w:rsidRDefault="00242D8A" w:rsidP="00242D8A">
            <w:pPr>
              <w:jc w:val="center"/>
              <w:rPr>
                <w:rFonts w:cs="Arial"/>
                <w:color w:val="000000" w:themeColor="text1"/>
                <w:szCs w:val="16"/>
              </w:rPr>
            </w:pPr>
            <w:r w:rsidRPr="00781112">
              <w:rPr>
                <w:rFonts w:cs="Arial"/>
                <w:color w:val="000000" w:themeColor="text1"/>
                <w:szCs w:val="16"/>
              </w:rPr>
              <w:t>2.39%</w:t>
            </w:r>
          </w:p>
        </w:tc>
        <w:tc>
          <w:tcPr>
            <w:tcW w:w="500" w:type="pct"/>
            <w:shd w:val="clear" w:color="auto" w:fill="auto"/>
            <w:vAlign w:val="center"/>
          </w:tcPr>
          <w:p w14:paraId="38039D42" w14:textId="45468742" w:rsidR="00242D8A" w:rsidRPr="00781112" w:rsidRDefault="00242D8A" w:rsidP="00242D8A">
            <w:pPr>
              <w:jc w:val="center"/>
              <w:rPr>
                <w:rFonts w:cs="Arial"/>
                <w:color w:val="000000" w:themeColor="text1"/>
                <w:szCs w:val="16"/>
              </w:rPr>
            </w:pPr>
            <w:r w:rsidRPr="00781112">
              <w:rPr>
                <w:rFonts w:cs="Arial"/>
                <w:color w:val="000000" w:themeColor="text1"/>
                <w:szCs w:val="16"/>
              </w:rPr>
              <w:t>2.56%</w:t>
            </w:r>
          </w:p>
        </w:tc>
        <w:tc>
          <w:tcPr>
            <w:tcW w:w="500" w:type="pct"/>
            <w:shd w:val="clear" w:color="auto" w:fill="auto"/>
            <w:vAlign w:val="center"/>
          </w:tcPr>
          <w:p w14:paraId="7DB4B85A" w14:textId="6DFB205A" w:rsidR="00242D8A" w:rsidRPr="00781112" w:rsidRDefault="00242D8A" w:rsidP="00242D8A">
            <w:pPr>
              <w:jc w:val="center"/>
              <w:rPr>
                <w:rFonts w:cs="Arial"/>
                <w:color w:val="000000" w:themeColor="text1"/>
                <w:szCs w:val="16"/>
              </w:rPr>
            </w:pPr>
            <w:r w:rsidRPr="00781112">
              <w:rPr>
                <w:rFonts w:cs="Arial"/>
                <w:color w:val="000000" w:themeColor="text1"/>
                <w:szCs w:val="16"/>
              </w:rPr>
              <w:t>2.85%</w:t>
            </w:r>
          </w:p>
        </w:tc>
        <w:tc>
          <w:tcPr>
            <w:tcW w:w="500" w:type="pct"/>
            <w:shd w:val="clear" w:color="auto" w:fill="auto"/>
            <w:vAlign w:val="center"/>
          </w:tcPr>
          <w:p w14:paraId="19114A8F" w14:textId="4F4B3C10" w:rsidR="00242D8A" w:rsidRPr="00781112" w:rsidRDefault="00242D8A" w:rsidP="00242D8A">
            <w:pPr>
              <w:jc w:val="center"/>
              <w:rPr>
                <w:rFonts w:cs="Arial"/>
                <w:color w:val="000000" w:themeColor="text1"/>
                <w:szCs w:val="16"/>
              </w:rPr>
            </w:pPr>
            <w:r w:rsidRPr="00781112">
              <w:rPr>
                <w:rFonts w:cs="Arial"/>
                <w:color w:val="000000" w:themeColor="text1"/>
                <w:szCs w:val="16"/>
              </w:rPr>
              <w:t>Met target</w:t>
            </w:r>
          </w:p>
        </w:tc>
        <w:tc>
          <w:tcPr>
            <w:tcW w:w="499" w:type="pct"/>
            <w:shd w:val="clear" w:color="auto" w:fill="auto"/>
            <w:vAlign w:val="center"/>
          </w:tcPr>
          <w:p w14:paraId="47661F26" w14:textId="727C9546"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573A5711" w14:textId="77777777" w:rsidTr="00242D8A">
        <w:trPr>
          <w:jc w:val="center"/>
        </w:trPr>
        <w:tc>
          <w:tcPr>
            <w:tcW w:w="223" w:type="pct"/>
            <w:shd w:val="clear" w:color="auto" w:fill="auto"/>
            <w:vAlign w:val="center"/>
          </w:tcPr>
          <w:p w14:paraId="3C25BE15"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shd w:val="clear" w:color="auto" w:fill="auto"/>
            <w:vAlign w:val="center"/>
          </w:tcPr>
          <w:p w14:paraId="1B1F6BC3" w14:textId="7816ECC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shd w:val="clear" w:color="auto" w:fill="auto"/>
            <w:vAlign w:val="center"/>
          </w:tcPr>
          <w:p w14:paraId="0EFA1043" w14:textId="0F9EE258" w:rsidR="00242D8A" w:rsidRPr="00781112" w:rsidRDefault="00242D8A" w:rsidP="00242D8A">
            <w:pPr>
              <w:jc w:val="center"/>
              <w:rPr>
                <w:rFonts w:cs="Arial"/>
                <w:color w:val="000000" w:themeColor="text1"/>
                <w:szCs w:val="16"/>
              </w:rPr>
            </w:pPr>
            <w:r w:rsidRPr="00781112">
              <w:rPr>
                <w:rFonts w:cs="Arial"/>
                <w:color w:val="000000" w:themeColor="text1"/>
                <w:szCs w:val="16"/>
              </w:rPr>
              <w:t>185</w:t>
            </w:r>
          </w:p>
        </w:tc>
        <w:tc>
          <w:tcPr>
            <w:tcW w:w="896" w:type="pct"/>
            <w:shd w:val="clear" w:color="auto" w:fill="auto"/>
            <w:vAlign w:val="center"/>
          </w:tcPr>
          <w:p w14:paraId="2A4E8BA5" w14:textId="01157060" w:rsidR="00242D8A" w:rsidRPr="00781112" w:rsidRDefault="00242D8A" w:rsidP="00242D8A">
            <w:pPr>
              <w:jc w:val="center"/>
              <w:rPr>
                <w:rFonts w:cs="Arial"/>
                <w:color w:val="000000" w:themeColor="text1"/>
                <w:szCs w:val="16"/>
              </w:rPr>
            </w:pPr>
            <w:r w:rsidRPr="00242D8A">
              <w:rPr>
                <w:rFonts w:cs="Arial"/>
                <w:color w:val="000000" w:themeColor="text1"/>
                <w:szCs w:val="16"/>
              </w:rPr>
              <w:t>6,020</w:t>
            </w:r>
          </w:p>
        </w:tc>
        <w:tc>
          <w:tcPr>
            <w:tcW w:w="500" w:type="pct"/>
            <w:shd w:val="clear" w:color="auto" w:fill="auto"/>
            <w:vAlign w:val="center"/>
          </w:tcPr>
          <w:p w14:paraId="2250005A" w14:textId="360EA34B" w:rsidR="00242D8A" w:rsidRPr="00781112" w:rsidRDefault="00242D8A" w:rsidP="00242D8A">
            <w:pPr>
              <w:jc w:val="center"/>
              <w:rPr>
                <w:rFonts w:cs="Arial"/>
                <w:color w:val="000000" w:themeColor="text1"/>
                <w:szCs w:val="16"/>
              </w:rPr>
            </w:pPr>
            <w:r w:rsidRPr="00781112">
              <w:rPr>
                <w:rFonts w:cs="Arial"/>
                <w:color w:val="000000" w:themeColor="text1"/>
                <w:szCs w:val="16"/>
              </w:rPr>
              <w:t>2.96%</w:t>
            </w:r>
          </w:p>
        </w:tc>
        <w:tc>
          <w:tcPr>
            <w:tcW w:w="500" w:type="pct"/>
            <w:shd w:val="clear" w:color="auto" w:fill="auto"/>
            <w:vAlign w:val="center"/>
          </w:tcPr>
          <w:p w14:paraId="722A3424" w14:textId="24478E1D" w:rsidR="00242D8A" w:rsidRPr="00781112" w:rsidRDefault="00242D8A" w:rsidP="00242D8A">
            <w:pPr>
              <w:jc w:val="center"/>
              <w:rPr>
                <w:rFonts w:cs="Arial"/>
                <w:color w:val="000000" w:themeColor="text1"/>
                <w:szCs w:val="16"/>
              </w:rPr>
            </w:pPr>
            <w:r w:rsidRPr="00781112">
              <w:rPr>
                <w:rFonts w:cs="Arial"/>
                <w:color w:val="000000" w:themeColor="text1"/>
                <w:szCs w:val="16"/>
              </w:rPr>
              <w:t>3.17%</w:t>
            </w:r>
          </w:p>
        </w:tc>
        <w:tc>
          <w:tcPr>
            <w:tcW w:w="500" w:type="pct"/>
            <w:shd w:val="clear" w:color="auto" w:fill="auto"/>
            <w:vAlign w:val="center"/>
          </w:tcPr>
          <w:p w14:paraId="581F32CD" w14:textId="4D615B60" w:rsidR="00242D8A" w:rsidRPr="00781112" w:rsidRDefault="00242D8A" w:rsidP="00242D8A">
            <w:pPr>
              <w:jc w:val="center"/>
              <w:rPr>
                <w:rFonts w:cs="Arial"/>
                <w:color w:val="000000" w:themeColor="text1"/>
                <w:szCs w:val="16"/>
              </w:rPr>
            </w:pPr>
            <w:r w:rsidRPr="00781112">
              <w:rPr>
                <w:rFonts w:cs="Arial"/>
                <w:color w:val="000000" w:themeColor="text1"/>
                <w:szCs w:val="16"/>
              </w:rPr>
              <w:t>3.07%</w:t>
            </w:r>
          </w:p>
        </w:tc>
        <w:tc>
          <w:tcPr>
            <w:tcW w:w="500" w:type="pct"/>
            <w:shd w:val="clear" w:color="auto" w:fill="auto"/>
            <w:vAlign w:val="center"/>
          </w:tcPr>
          <w:p w14:paraId="3FECC7B3" w14:textId="2C921A8F"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79B60713" w14:textId="20FD7180"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bl>
    <w:p w14:paraId="197C30C8" w14:textId="77777777" w:rsidR="00CF57A2" w:rsidRPr="00781112" w:rsidRDefault="00CF57A2" w:rsidP="00580134">
      <w:pPr>
        <w:rPr>
          <w:rFonts w:cs="Arial"/>
          <w:iCs/>
          <w:color w:val="000000" w:themeColor="text1"/>
          <w:szCs w:val="16"/>
        </w:rPr>
      </w:pPr>
    </w:p>
    <w:p w14:paraId="491BF673" w14:textId="01A5E679" w:rsidR="00140972" w:rsidRDefault="00140972">
      <w:pPr>
        <w:spacing w:before="0" w:after="200" w:line="276" w:lineRule="auto"/>
        <w:rPr>
          <w:color w:val="000000" w:themeColor="text1"/>
        </w:rPr>
      </w:pPr>
      <w:r>
        <w:rPr>
          <w:color w:val="000000" w:themeColor="text1"/>
        </w:rPr>
        <w:br w:type="page"/>
      </w:r>
    </w:p>
    <w:p w14:paraId="548763BB" w14:textId="77777777" w:rsidR="00585959" w:rsidRPr="00781112" w:rsidRDefault="00585959" w:rsidP="005004AB">
      <w:pPr>
        <w:rPr>
          <w:color w:val="000000" w:themeColor="text1"/>
        </w:rPr>
      </w:pPr>
    </w:p>
    <w:p w14:paraId="3D6382E8" w14:textId="3FF585D4" w:rsidR="00497DE4" w:rsidRPr="00781112" w:rsidRDefault="00497DE4" w:rsidP="004369B2">
      <w:pPr>
        <w:rPr>
          <w:color w:val="000000" w:themeColor="text1"/>
        </w:rPr>
      </w:pPr>
      <w:r w:rsidRPr="00781112">
        <w:rPr>
          <w:b/>
          <w:color w:val="000000" w:themeColor="text1"/>
        </w:rPr>
        <w:t>Regulatory Information</w:t>
      </w:r>
    </w:p>
    <w:p w14:paraId="3C6B4961" w14:textId="47AFDEDF"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0071F535" w14:textId="77777777" w:rsidR="00585959" w:rsidRPr="00781112" w:rsidRDefault="00585959" w:rsidP="004369B2">
      <w:pPr>
        <w:rPr>
          <w:color w:val="000000" w:themeColor="text1"/>
        </w:rPr>
      </w:pPr>
    </w:p>
    <w:p w14:paraId="36CE185D" w14:textId="50CA6AD9" w:rsidR="000A5A2E" w:rsidRPr="00781112" w:rsidRDefault="000A5A2E" w:rsidP="004369B2">
      <w:pPr>
        <w:rPr>
          <w:color w:val="000000" w:themeColor="text1"/>
        </w:rPr>
      </w:pPr>
      <w:r w:rsidRPr="00781112">
        <w:rPr>
          <w:b/>
          <w:color w:val="000000" w:themeColor="text1"/>
        </w:rPr>
        <w:t>Public Reporting Information</w:t>
      </w:r>
    </w:p>
    <w:p w14:paraId="09EDA537" w14:textId="77777777" w:rsidR="00E539AB" w:rsidRPr="00781112" w:rsidRDefault="00E539AB" w:rsidP="00E539AB">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11DD1A5" w14:textId="0E809EBD" w:rsidR="00A869E9" w:rsidRPr="00781112" w:rsidRDefault="002B7490" w:rsidP="00E539AB">
      <w:pPr>
        <w:rPr>
          <w:rFonts w:cs="Arial"/>
          <w:color w:val="000000" w:themeColor="text1"/>
          <w:szCs w:val="16"/>
        </w:rPr>
      </w:pPr>
      <w:r w:rsidRPr="00781112">
        <w:rPr>
          <w:rFonts w:cs="Arial"/>
          <w:color w:val="000000" w:themeColor="text1"/>
          <w:szCs w:val="16"/>
        </w:rPr>
        <w:t>https://sde.ok.gov/documents/2012-10-01/special-education-data-and-reporting-part-b-children-ages-3-through-21</w:t>
      </w:r>
    </w:p>
    <w:p w14:paraId="2BE473B4" w14:textId="77777777" w:rsidR="00053391" w:rsidRPr="00781112" w:rsidRDefault="00053391" w:rsidP="004369B2">
      <w:pPr>
        <w:rPr>
          <w:b/>
          <w:color w:val="000000" w:themeColor="text1"/>
        </w:rPr>
      </w:pPr>
      <w:bookmarkStart w:id="15" w:name="_Toc382082367"/>
      <w:bookmarkStart w:id="16" w:name="_Toc392159276"/>
      <w:r w:rsidRPr="00781112">
        <w:rPr>
          <w:b/>
          <w:color w:val="000000" w:themeColor="text1"/>
        </w:rPr>
        <w:t>Provide additional information about this indicator (optional)</w:t>
      </w:r>
    </w:p>
    <w:p w14:paraId="3E9E8793" w14:textId="126D5C73" w:rsidR="00A869E9" w:rsidRPr="00781112" w:rsidRDefault="00A869E9" w:rsidP="000E33D0">
      <w:pPr>
        <w:rPr>
          <w:rFonts w:cs="Arial"/>
          <w:color w:val="000000" w:themeColor="text1"/>
          <w:szCs w:val="16"/>
        </w:rPr>
      </w:pPr>
    </w:p>
    <w:p w14:paraId="7E90E47A" w14:textId="1FCF2660" w:rsidR="000A2C83" w:rsidRPr="00781112" w:rsidRDefault="00573F6C" w:rsidP="008645AD">
      <w:pPr>
        <w:pStyle w:val="Heading2"/>
      </w:pPr>
      <w:r w:rsidRPr="00781112">
        <w:t>3B</w:t>
      </w:r>
      <w:r w:rsidR="00BB4FD7" w:rsidRPr="00781112">
        <w:t xml:space="preserve"> </w:t>
      </w:r>
      <w:r w:rsidRPr="00781112">
        <w:t xml:space="preserve">- </w:t>
      </w:r>
      <w:r w:rsidR="000A2C83" w:rsidRPr="00781112">
        <w:t>Prior FFY Required Actions</w:t>
      </w:r>
    </w:p>
    <w:p w14:paraId="020116A7" w14:textId="30989224" w:rsidR="00CA1E5A" w:rsidRPr="00781112" w:rsidRDefault="002B7490" w:rsidP="000A2C83">
      <w:pPr>
        <w:rPr>
          <w:rFonts w:cs="Arial"/>
          <w:color w:val="000000" w:themeColor="text1"/>
          <w:szCs w:val="16"/>
        </w:rPr>
      </w:pPr>
      <w:r w:rsidRPr="00781112">
        <w:rPr>
          <w:rFonts w:cs="Arial"/>
          <w:color w:val="000000" w:themeColor="text1"/>
          <w:szCs w:val="16"/>
        </w:rPr>
        <w:t>None</w:t>
      </w:r>
    </w:p>
    <w:p w14:paraId="40E83F51" w14:textId="68FFF50F" w:rsidR="00053391" w:rsidRPr="00781112" w:rsidRDefault="00573F6C" w:rsidP="008645AD">
      <w:pPr>
        <w:pStyle w:val="Heading2"/>
      </w:pPr>
      <w:r w:rsidRPr="00781112">
        <w:t>3B - OSEP Response</w:t>
      </w:r>
    </w:p>
    <w:p w14:paraId="3ED35024" w14:textId="0A8D2725" w:rsidR="00A869E9" w:rsidRPr="00781112" w:rsidRDefault="002B7490" w:rsidP="001F692C">
      <w:pPr>
        <w:rPr>
          <w:rFonts w:cs="Arial"/>
          <w:color w:val="000000" w:themeColor="text1"/>
          <w:szCs w:val="16"/>
        </w:rPr>
      </w:pPr>
      <w:r w:rsidRPr="00781112">
        <w:rPr>
          <w:rFonts w:cs="Arial"/>
          <w:color w:val="000000" w:themeColor="text1"/>
          <w:szCs w:val="16"/>
          <w:shd w:val="clear" w:color="auto" w:fill="FFFFFF"/>
        </w:rPr>
        <w:t>The State provided FFY 2021 through FFY 2025 targets for this indicator, and OSEP accepts those targets.</w:t>
      </w:r>
    </w:p>
    <w:p w14:paraId="4E98DE68" w14:textId="3E692587" w:rsidR="00053391" w:rsidRPr="00781112" w:rsidRDefault="00573F6C" w:rsidP="008645AD">
      <w:pPr>
        <w:pStyle w:val="Heading2"/>
      </w:pPr>
      <w:r w:rsidRPr="00781112">
        <w:t>3B - Required Actions</w:t>
      </w:r>
    </w:p>
    <w:p w14:paraId="54E3AE73" w14:textId="681577C9" w:rsidR="00A869E9" w:rsidRPr="00781112" w:rsidRDefault="00A869E9" w:rsidP="001F692C">
      <w:pPr>
        <w:rPr>
          <w:rFonts w:cs="Arial"/>
          <w:color w:val="000000" w:themeColor="text1"/>
          <w:szCs w:val="16"/>
        </w:rPr>
      </w:pPr>
    </w:p>
    <w:p w14:paraId="4DBC1CB9"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62E86A4" w14:textId="6BD07048" w:rsidR="009D378C" w:rsidRPr="00781112" w:rsidRDefault="009D378C">
      <w:pPr>
        <w:pStyle w:val="Heading1"/>
        <w:rPr>
          <w:color w:val="000000" w:themeColor="text1"/>
          <w:sz w:val="22"/>
        </w:rPr>
      </w:pPr>
      <w:r w:rsidRPr="00781112">
        <w:rPr>
          <w:color w:val="000000" w:themeColor="text1"/>
          <w:sz w:val="22"/>
        </w:rPr>
        <w:lastRenderedPageBreak/>
        <w:t>Indicator 3C: Proficiency for Children with IEPs (Alternate Academic Achievement Standards)</w:t>
      </w:r>
      <w:bookmarkEnd w:id="15"/>
      <w:bookmarkEnd w:id="16"/>
    </w:p>
    <w:p w14:paraId="52EFBCBE" w14:textId="26DA486B" w:rsidR="008878CC" w:rsidRPr="00781112" w:rsidRDefault="008878CC" w:rsidP="00A018D4">
      <w:pPr>
        <w:rPr>
          <w:color w:val="000000" w:themeColor="text1"/>
          <w:szCs w:val="20"/>
        </w:rPr>
      </w:pPr>
      <w:r w:rsidRPr="00781112">
        <w:rPr>
          <w:b/>
          <w:color w:val="000000" w:themeColor="text1"/>
          <w:sz w:val="20"/>
          <w:szCs w:val="20"/>
        </w:rPr>
        <w:t xml:space="preserve">Instructions and Measurement </w:t>
      </w:r>
    </w:p>
    <w:p w14:paraId="241F1C78" w14:textId="77777777" w:rsidR="000A5A2E" w:rsidRPr="00781112" w:rsidRDefault="000A5A2E" w:rsidP="004369B2">
      <w:pPr>
        <w:rPr>
          <w:color w:val="000000" w:themeColor="text1"/>
        </w:rPr>
      </w:pPr>
      <w:bookmarkStart w:id="17" w:name="_Toc384383330"/>
      <w:bookmarkStart w:id="18" w:name="_Toc392159282"/>
      <w:bookmarkStart w:id="19" w:name="_Toc382082372"/>
      <w:r w:rsidRPr="00781112">
        <w:rPr>
          <w:b/>
          <w:color w:val="000000" w:themeColor="text1"/>
        </w:rPr>
        <w:t xml:space="preserve">Monitoring Priority: </w:t>
      </w:r>
      <w:r w:rsidRPr="00781112">
        <w:rPr>
          <w:color w:val="000000" w:themeColor="text1"/>
        </w:rPr>
        <w:t>FAPE in the LRE</w:t>
      </w:r>
    </w:p>
    <w:p w14:paraId="40B194E0" w14:textId="1AA1580D"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7F5EE1F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76102D80"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65AE871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7381D72B"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57288DF2"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363AAB3C" w14:textId="77777777" w:rsidR="000A5A2E" w:rsidRPr="00781112" w:rsidRDefault="000A5A2E" w:rsidP="004369B2">
      <w:pPr>
        <w:rPr>
          <w:color w:val="000000" w:themeColor="text1"/>
        </w:rPr>
      </w:pPr>
      <w:r w:rsidRPr="00781112">
        <w:rPr>
          <w:b/>
          <w:color w:val="000000" w:themeColor="text1"/>
        </w:rPr>
        <w:t>Data Source</w:t>
      </w:r>
    </w:p>
    <w:p w14:paraId="274B140A" w14:textId="3ABBB221" w:rsidR="000A5A2E" w:rsidRPr="00781112" w:rsidRDefault="000A5A2E" w:rsidP="00552927">
      <w:pPr>
        <w:rPr>
          <w:rFonts w:cs="Arial"/>
          <w:color w:val="000000" w:themeColor="text1"/>
          <w:szCs w:val="16"/>
        </w:rPr>
      </w:pPr>
      <w:r w:rsidRPr="00781112">
        <w:rPr>
          <w:rFonts w:cs="Arial"/>
          <w:color w:val="000000" w:themeColor="text1"/>
          <w:szCs w:val="16"/>
        </w:rPr>
        <w:t>3C. Same data as used for reporting to the Department under Title I of the ESEA, using EDFacts file specifications FS175 and 178.</w:t>
      </w:r>
    </w:p>
    <w:p w14:paraId="064C7F6E" w14:textId="77777777" w:rsidR="000A5A2E" w:rsidRPr="00781112" w:rsidRDefault="000A5A2E" w:rsidP="004369B2">
      <w:pPr>
        <w:rPr>
          <w:color w:val="000000" w:themeColor="text1"/>
        </w:rPr>
      </w:pPr>
      <w:r w:rsidRPr="00781112">
        <w:rPr>
          <w:b/>
          <w:color w:val="000000" w:themeColor="text1"/>
        </w:rPr>
        <w:t>Measurement</w:t>
      </w:r>
    </w:p>
    <w:p w14:paraId="7639A7B8" w14:textId="3B2FB141"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  Calculate separately for grades 4, 8, and high school. The proficiency rate includes both children with IEPs enrolled for a full academic year and those not enrolled for a full academic year.</w:t>
      </w:r>
    </w:p>
    <w:p w14:paraId="1CE435A8" w14:textId="77777777" w:rsidR="000A5A2E" w:rsidRPr="00781112" w:rsidRDefault="000A5A2E" w:rsidP="004369B2">
      <w:pPr>
        <w:rPr>
          <w:color w:val="000000" w:themeColor="text1"/>
        </w:rPr>
      </w:pPr>
      <w:r w:rsidRPr="00781112">
        <w:rPr>
          <w:b/>
          <w:color w:val="000000" w:themeColor="text1"/>
        </w:rPr>
        <w:t>Instructions</w:t>
      </w:r>
    </w:p>
    <w:p w14:paraId="79EB3296"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F00AC69"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04E96BDA" w14:textId="77777777" w:rsidR="00385214" w:rsidRPr="00781112" w:rsidRDefault="000A5A2E" w:rsidP="00385214">
      <w:pPr>
        <w:rPr>
          <w:rFonts w:cs="Arial"/>
          <w:szCs w:val="16"/>
        </w:rPr>
      </w:pPr>
      <w:r w:rsidRPr="00781112">
        <w:rPr>
          <w:rFonts w:cs="Arial"/>
          <w:color w:val="000000" w:themeColor="text1"/>
          <w:szCs w:val="16"/>
        </w:rPr>
        <w:t xml:space="preserve">Indicator 3C: </w:t>
      </w:r>
      <w:r w:rsidR="00385214" w:rsidRPr="00781112">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p>
    <w:p w14:paraId="1015A11D" w14:textId="071607C2" w:rsidR="000A5A2E" w:rsidRPr="00781112" w:rsidRDefault="00385214" w:rsidP="00385214">
      <w:pPr>
        <w:rPr>
          <w:rFonts w:cs="Arial"/>
          <w:color w:val="000000" w:themeColor="text1"/>
          <w:szCs w:val="16"/>
        </w:rPr>
      </w:pPr>
      <w:r w:rsidRPr="00781112">
        <w:rPr>
          <w:rFonts w:cs="Arial"/>
          <w:szCs w:val="16"/>
        </w:rPr>
        <w:t>of testing.</w:t>
      </w:r>
    </w:p>
    <w:p w14:paraId="7CE600A3" w14:textId="62D18727" w:rsidR="001B5210" w:rsidRPr="00781112" w:rsidRDefault="00573F6C" w:rsidP="008645AD">
      <w:pPr>
        <w:pStyle w:val="Heading2"/>
      </w:pPr>
      <w:r w:rsidRPr="00781112">
        <w:t>3C</w:t>
      </w:r>
      <w:r w:rsidR="00BB4FD7" w:rsidRPr="00781112">
        <w:t xml:space="preserve"> </w:t>
      </w:r>
      <w:r w:rsidRPr="00781112">
        <w:t xml:space="preserve">- </w:t>
      </w:r>
      <w:r w:rsidR="001B5210" w:rsidRPr="00781112">
        <w:t>Indicator Data</w:t>
      </w:r>
    </w:p>
    <w:p w14:paraId="0B1C0DD7" w14:textId="51BE70AF"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5299B4E6" w14:textId="77777777" w:rsidTr="009725F4">
        <w:trPr>
          <w:trHeight w:val="368"/>
          <w:tblHeader/>
        </w:trPr>
        <w:tc>
          <w:tcPr>
            <w:tcW w:w="736" w:type="pct"/>
            <w:tcBorders>
              <w:top w:val="single" w:sz="4" w:space="0" w:color="auto"/>
            </w:tcBorders>
            <w:vAlign w:val="center"/>
          </w:tcPr>
          <w:p w14:paraId="43B0649B"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611078A1"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4FF0AF06"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5F7760A7"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01C3E0F4"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62CCD80E" w14:textId="77777777" w:rsidTr="00827FF4">
        <w:trPr>
          <w:trHeight w:val="368"/>
        </w:trPr>
        <w:tc>
          <w:tcPr>
            <w:tcW w:w="736" w:type="pct"/>
            <w:vAlign w:val="center"/>
          </w:tcPr>
          <w:p w14:paraId="6DBDC79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49F4CF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0E5785E8" w14:textId="11F5BAE0"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4EB8CC47" w14:textId="1B0ED9ED"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281A612" w14:textId="23CB1591" w:rsidR="00537221" w:rsidRPr="00781112" w:rsidRDefault="00537221" w:rsidP="00827FF4">
            <w:pPr>
              <w:spacing w:before="0" w:after="0"/>
              <w:jc w:val="center"/>
              <w:rPr>
                <w:color w:val="000000" w:themeColor="text1"/>
              </w:rPr>
            </w:pPr>
            <w:r w:rsidRPr="00781112">
              <w:rPr>
                <w:rFonts w:cs="Arial"/>
                <w:color w:val="000000" w:themeColor="text1"/>
                <w:szCs w:val="16"/>
              </w:rPr>
              <w:t>27.04%</w:t>
            </w:r>
          </w:p>
        </w:tc>
      </w:tr>
      <w:tr w:rsidR="00537221" w:rsidRPr="00781112" w14:paraId="1C24E702" w14:textId="77777777" w:rsidTr="00827FF4">
        <w:trPr>
          <w:trHeight w:val="368"/>
        </w:trPr>
        <w:tc>
          <w:tcPr>
            <w:tcW w:w="736" w:type="pct"/>
            <w:vAlign w:val="center"/>
          </w:tcPr>
          <w:p w14:paraId="678970EB"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1EBDCD6D"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727E9135" w14:textId="4107258E"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C958A72" w14:textId="4A38962C"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FED42B6" w14:textId="77E5EAC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30.40%</w:t>
            </w:r>
          </w:p>
        </w:tc>
      </w:tr>
      <w:tr w:rsidR="00537221" w:rsidRPr="00781112" w14:paraId="59B71803" w14:textId="77777777" w:rsidTr="00827FF4">
        <w:trPr>
          <w:trHeight w:val="368"/>
        </w:trPr>
        <w:tc>
          <w:tcPr>
            <w:tcW w:w="736" w:type="pct"/>
            <w:vAlign w:val="center"/>
          </w:tcPr>
          <w:p w14:paraId="4EBEF59E"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EE18997"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7D681B80" w14:textId="4A6DABFD"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1DF3FFCD" w14:textId="6C6BE9F1"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4A93084" w14:textId="02FAA503"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38.70%</w:t>
            </w:r>
          </w:p>
        </w:tc>
      </w:tr>
      <w:tr w:rsidR="00537221" w:rsidRPr="00781112" w14:paraId="05A06BC9" w14:textId="77777777" w:rsidTr="00827FF4">
        <w:trPr>
          <w:trHeight w:val="368"/>
        </w:trPr>
        <w:tc>
          <w:tcPr>
            <w:tcW w:w="736" w:type="pct"/>
            <w:vAlign w:val="center"/>
          </w:tcPr>
          <w:p w14:paraId="6020FFAF"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CFDB92F"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5CB62D65" w14:textId="5E527C8F"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F85621" w14:textId="1D815BA8"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790D130A" w14:textId="06A6107B"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53.62%</w:t>
            </w:r>
          </w:p>
        </w:tc>
      </w:tr>
      <w:tr w:rsidR="00537221" w:rsidRPr="00781112" w14:paraId="086B388C" w14:textId="77777777" w:rsidTr="00827FF4">
        <w:trPr>
          <w:trHeight w:val="368"/>
        </w:trPr>
        <w:tc>
          <w:tcPr>
            <w:tcW w:w="736" w:type="pct"/>
            <w:vAlign w:val="center"/>
          </w:tcPr>
          <w:p w14:paraId="7653A8F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285758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4FB850D" w14:textId="54F493D6"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502C33F8" w14:textId="45D8525B"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AD27F52" w14:textId="16DC50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14.51%</w:t>
            </w:r>
          </w:p>
        </w:tc>
      </w:tr>
      <w:tr w:rsidR="00537221" w:rsidRPr="00781112" w14:paraId="43D0DD14" w14:textId="77777777" w:rsidTr="00827FF4">
        <w:trPr>
          <w:trHeight w:val="368"/>
        </w:trPr>
        <w:tc>
          <w:tcPr>
            <w:tcW w:w="736" w:type="pct"/>
            <w:vAlign w:val="center"/>
          </w:tcPr>
          <w:p w14:paraId="1464F87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09D1AD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261B7EA0" w14:textId="1CFD27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07D595C6" w14:textId="36D54FE7"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7DF7D26" w14:textId="3067273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45.70%</w:t>
            </w:r>
          </w:p>
        </w:tc>
      </w:tr>
    </w:tbl>
    <w:p w14:paraId="4679A4B4" w14:textId="77777777" w:rsidR="00537221" w:rsidRPr="00781112" w:rsidRDefault="00537221">
      <w:pPr>
        <w:rPr>
          <w:b/>
          <w:color w:val="000000" w:themeColor="text1"/>
        </w:rPr>
      </w:pPr>
    </w:p>
    <w:p w14:paraId="764C016B" w14:textId="48180105" w:rsidR="00A10323" w:rsidRPr="00781112" w:rsidRDefault="00A10323" w:rsidP="004369B2">
      <w:pPr>
        <w:rPr>
          <w:b/>
          <w:color w:val="000000" w:themeColor="text1"/>
        </w:rPr>
      </w:pPr>
      <w:r w:rsidRPr="00781112">
        <w:rPr>
          <w:b/>
          <w:color w:val="000000" w:themeColor="text1"/>
        </w:rPr>
        <w:t>Targets</w:t>
      </w:r>
    </w:p>
    <w:tbl>
      <w:tblPr>
        <w:tblW w:w="44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3"/>
        <w:gridCol w:w="697"/>
        <w:gridCol w:w="1738"/>
        <w:gridCol w:w="1256"/>
        <w:gridCol w:w="1256"/>
        <w:gridCol w:w="1256"/>
        <w:gridCol w:w="1256"/>
        <w:gridCol w:w="1256"/>
      </w:tblGrid>
      <w:tr w:rsidR="00B14519" w:rsidRPr="00781112" w14:paraId="6FE97918" w14:textId="1BF8CF9D" w:rsidTr="00451D7E">
        <w:tc>
          <w:tcPr>
            <w:tcW w:w="427" w:type="pct"/>
            <w:tcBorders>
              <w:bottom w:val="single" w:sz="4" w:space="0" w:color="auto"/>
            </w:tcBorders>
            <w:shd w:val="clear" w:color="auto" w:fill="auto"/>
          </w:tcPr>
          <w:p w14:paraId="5CDF6985" w14:textId="5342FC63" w:rsidR="00B14519" w:rsidRPr="00781112" w:rsidRDefault="00B14519" w:rsidP="00561042">
            <w:pPr>
              <w:jc w:val="center"/>
              <w:rPr>
                <w:b/>
                <w:color w:val="000000" w:themeColor="text1"/>
              </w:rPr>
            </w:pPr>
            <w:r w:rsidRPr="00781112">
              <w:rPr>
                <w:b/>
                <w:color w:val="000000" w:themeColor="text1"/>
              </w:rPr>
              <w:t>Subject</w:t>
            </w:r>
          </w:p>
        </w:tc>
        <w:tc>
          <w:tcPr>
            <w:tcW w:w="366" w:type="pct"/>
            <w:tcBorders>
              <w:bottom w:val="single" w:sz="4" w:space="0" w:color="auto"/>
            </w:tcBorders>
            <w:shd w:val="clear" w:color="auto" w:fill="auto"/>
          </w:tcPr>
          <w:p w14:paraId="01DFF2B4" w14:textId="2094C240" w:rsidR="00B14519" w:rsidRPr="00781112" w:rsidRDefault="00B14519" w:rsidP="00561042">
            <w:pPr>
              <w:jc w:val="center"/>
              <w:rPr>
                <w:b/>
                <w:color w:val="000000" w:themeColor="text1"/>
              </w:rPr>
            </w:pPr>
            <w:r w:rsidRPr="00781112">
              <w:rPr>
                <w:b/>
                <w:color w:val="000000" w:themeColor="text1"/>
              </w:rPr>
              <w:t>Group</w:t>
            </w:r>
          </w:p>
        </w:tc>
        <w:tc>
          <w:tcPr>
            <w:tcW w:w="912" w:type="pct"/>
            <w:shd w:val="clear" w:color="auto" w:fill="auto"/>
          </w:tcPr>
          <w:p w14:paraId="3976F221" w14:textId="32F28582" w:rsidR="00B14519" w:rsidRPr="00781112" w:rsidDel="008E7B87" w:rsidRDefault="00B14519" w:rsidP="00561042">
            <w:pPr>
              <w:jc w:val="center"/>
              <w:rPr>
                <w:b/>
                <w:color w:val="000000" w:themeColor="text1"/>
              </w:rPr>
            </w:pPr>
            <w:r w:rsidRPr="00781112">
              <w:rPr>
                <w:b/>
                <w:color w:val="000000" w:themeColor="text1"/>
              </w:rPr>
              <w:t>Group Name</w:t>
            </w:r>
          </w:p>
        </w:tc>
        <w:tc>
          <w:tcPr>
            <w:tcW w:w="659" w:type="pct"/>
            <w:shd w:val="clear" w:color="auto" w:fill="auto"/>
          </w:tcPr>
          <w:p w14:paraId="076E9FA3" w14:textId="2BDFEC53" w:rsidR="00B14519" w:rsidRPr="00781112" w:rsidRDefault="00B14519" w:rsidP="00561042">
            <w:pPr>
              <w:jc w:val="center"/>
              <w:rPr>
                <w:b/>
                <w:color w:val="000000" w:themeColor="text1"/>
              </w:rPr>
            </w:pPr>
            <w:r w:rsidRPr="00781112">
              <w:rPr>
                <w:b/>
                <w:color w:val="000000" w:themeColor="text1"/>
              </w:rPr>
              <w:t>2021</w:t>
            </w:r>
          </w:p>
        </w:tc>
        <w:tc>
          <w:tcPr>
            <w:tcW w:w="659" w:type="pct"/>
            <w:vAlign w:val="center"/>
          </w:tcPr>
          <w:p w14:paraId="2A95FA03" w14:textId="46828D1C" w:rsidR="00B14519" w:rsidRPr="00781112" w:rsidRDefault="00B14519" w:rsidP="00561042">
            <w:pPr>
              <w:jc w:val="center"/>
              <w:rPr>
                <w:b/>
                <w:color w:val="000000" w:themeColor="text1"/>
              </w:rPr>
            </w:pPr>
            <w:r w:rsidRPr="00781112">
              <w:rPr>
                <w:rFonts w:cs="Arial"/>
                <w:b/>
                <w:color w:val="000000" w:themeColor="text1"/>
                <w:szCs w:val="16"/>
              </w:rPr>
              <w:t>2022</w:t>
            </w:r>
          </w:p>
        </w:tc>
        <w:tc>
          <w:tcPr>
            <w:tcW w:w="659" w:type="pct"/>
            <w:vAlign w:val="center"/>
          </w:tcPr>
          <w:p w14:paraId="56A4FE1C" w14:textId="196C362E" w:rsidR="00B14519" w:rsidRPr="00781112" w:rsidRDefault="00B14519" w:rsidP="00561042">
            <w:pPr>
              <w:jc w:val="center"/>
              <w:rPr>
                <w:b/>
                <w:color w:val="000000" w:themeColor="text1"/>
              </w:rPr>
            </w:pPr>
            <w:r w:rsidRPr="00781112">
              <w:rPr>
                <w:rFonts w:cs="Arial"/>
                <w:b/>
                <w:color w:val="000000" w:themeColor="text1"/>
                <w:szCs w:val="16"/>
              </w:rPr>
              <w:t>2023</w:t>
            </w:r>
          </w:p>
        </w:tc>
        <w:tc>
          <w:tcPr>
            <w:tcW w:w="659" w:type="pct"/>
            <w:vAlign w:val="center"/>
          </w:tcPr>
          <w:p w14:paraId="6FCB9B7C" w14:textId="67672F5E" w:rsidR="00B14519" w:rsidRPr="00781112" w:rsidRDefault="00B14519" w:rsidP="00561042">
            <w:pPr>
              <w:jc w:val="center"/>
              <w:rPr>
                <w:b/>
                <w:color w:val="000000" w:themeColor="text1"/>
              </w:rPr>
            </w:pPr>
            <w:r w:rsidRPr="00781112">
              <w:rPr>
                <w:rFonts w:cs="Arial"/>
                <w:b/>
                <w:color w:val="000000" w:themeColor="text1"/>
                <w:szCs w:val="16"/>
              </w:rPr>
              <w:t>2024</w:t>
            </w:r>
          </w:p>
        </w:tc>
        <w:tc>
          <w:tcPr>
            <w:tcW w:w="659" w:type="pct"/>
            <w:vAlign w:val="center"/>
          </w:tcPr>
          <w:p w14:paraId="7118C826" w14:textId="7C910CE0" w:rsidR="00B14519" w:rsidRPr="00781112" w:rsidRDefault="00B14519" w:rsidP="00561042">
            <w:pPr>
              <w:jc w:val="center"/>
              <w:rPr>
                <w:b/>
                <w:color w:val="000000" w:themeColor="text1"/>
              </w:rPr>
            </w:pPr>
            <w:r w:rsidRPr="00781112">
              <w:rPr>
                <w:rFonts w:cs="Arial"/>
                <w:b/>
                <w:color w:val="000000" w:themeColor="text1"/>
                <w:szCs w:val="16"/>
              </w:rPr>
              <w:t>2025</w:t>
            </w:r>
          </w:p>
        </w:tc>
      </w:tr>
      <w:tr w:rsidR="00B14519" w:rsidRPr="00781112" w14:paraId="24016D03" w14:textId="0FC0BA7B" w:rsidTr="00451D7E">
        <w:tc>
          <w:tcPr>
            <w:tcW w:w="427" w:type="pct"/>
            <w:shd w:val="clear" w:color="auto" w:fill="auto"/>
            <w:vAlign w:val="center"/>
          </w:tcPr>
          <w:p w14:paraId="6AD78348" w14:textId="77777777"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Reading</w:t>
            </w:r>
          </w:p>
        </w:tc>
        <w:tc>
          <w:tcPr>
            <w:tcW w:w="366" w:type="pct"/>
            <w:shd w:val="clear" w:color="auto" w:fill="auto"/>
            <w:vAlign w:val="center"/>
          </w:tcPr>
          <w:p w14:paraId="68D451C5" w14:textId="0D62DF33"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A &gt;=</w:t>
            </w:r>
          </w:p>
        </w:tc>
        <w:tc>
          <w:tcPr>
            <w:tcW w:w="912" w:type="pct"/>
            <w:shd w:val="clear" w:color="auto" w:fill="auto"/>
            <w:vAlign w:val="center"/>
          </w:tcPr>
          <w:p w14:paraId="10A86524" w14:textId="5A63BB47" w:rsidR="00B14519" w:rsidRPr="00781112" w:rsidDel="00DE5045" w:rsidRDefault="00B14519" w:rsidP="00D13592">
            <w:pPr>
              <w:jc w:val="center"/>
              <w:rPr>
                <w:rFonts w:cs="Arial"/>
                <w:color w:val="000000" w:themeColor="text1"/>
                <w:szCs w:val="16"/>
              </w:rPr>
            </w:pPr>
            <w:r w:rsidRPr="00781112">
              <w:rPr>
                <w:rFonts w:cs="Arial"/>
                <w:color w:val="000000" w:themeColor="text1"/>
                <w:szCs w:val="16"/>
              </w:rPr>
              <w:t>Grade 4</w:t>
            </w:r>
          </w:p>
        </w:tc>
        <w:tc>
          <w:tcPr>
            <w:tcW w:w="659" w:type="pct"/>
            <w:shd w:val="clear" w:color="auto" w:fill="auto"/>
            <w:vAlign w:val="center"/>
          </w:tcPr>
          <w:p w14:paraId="3451F312" w14:textId="2295E6F6" w:rsidR="00B14519" w:rsidRPr="00781112" w:rsidRDefault="00B14519" w:rsidP="00D13592">
            <w:pPr>
              <w:jc w:val="center"/>
              <w:rPr>
                <w:rFonts w:cs="Arial"/>
                <w:color w:val="000000" w:themeColor="text1"/>
                <w:szCs w:val="16"/>
              </w:rPr>
            </w:pPr>
            <w:r w:rsidRPr="00781112">
              <w:rPr>
                <w:rFonts w:cs="Arial"/>
                <w:color w:val="000000" w:themeColor="text1"/>
                <w:szCs w:val="16"/>
              </w:rPr>
              <w:t>28.93%</w:t>
            </w:r>
          </w:p>
        </w:tc>
        <w:tc>
          <w:tcPr>
            <w:tcW w:w="659" w:type="pct"/>
            <w:vAlign w:val="center"/>
          </w:tcPr>
          <w:p w14:paraId="1A23D563" w14:textId="56F68959" w:rsidR="00B14519" w:rsidRPr="00781112" w:rsidRDefault="00B14519" w:rsidP="00D13592">
            <w:pPr>
              <w:jc w:val="center"/>
              <w:rPr>
                <w:rFonts w:cs="Arial"/>
                <w:color w:val="000000" w:themeColor="text1"/>
                <w:szCs w:val="16"/>
              </w:rPr>
            </w:pPr>
            <w:r w:rsidRPr="00781112">
              <w:rPr>
                <w:rFonts w:cs="Arial"/>
                <w:color w:val="000000" w:themeColor="text1"/>
                <w:szCs w:val="16"/>
              </w:rPr>
              <w:t>30.96%</w:t>
            </w:r>
          </w:p>
        </w:tc>
        <w:tc>
          <w:tcPr>
            <w:tcW w:w="659" w:type="pct"/>
            <w:vAlign w:val="center"/>
          </w:tcPr>
          <w:p w14:paraId="6BBDE651" w14:textId="47B65FE0" w:rsidR="00B14519" w:rsidRPr="00781112" w:rsidRDefault="00B14519" w:rsidP="00D13592">
            <w:pPr>
              <w:jc w:val="center"/>
              <w:rPr>
                <w:rFonts w:cs="Arial"/>
                <w:color w:val="000000" w:themeColor="text1"/>
                <w:szCs w:val="16"/>
              </w:rPr>
            </w:pPr>
            <w:r w:rsidRPr="00781112">
              <w:rPr>
                <w:rFonts w:cs="Arial"/>
                <w:color w:val="000000" w:themeColor="text1"/>
                <w:szCs w:val="16"/>
              </w:rPr>
              <w:t>33.13%</w:t>
            </w:r>
          </w:p>
        </w:tc>
        <w:tc>
          <w:tcPr>
            <w:tcW w:w="659" w:type="pct"/>
            <w:vAlign w:val="center"/>
          </w:tcPr>
          <w:p w14:paraId="5A275577" w14:textId="6DCA94CB" w:rsidR="00B14519" w:rsidRPr="00781112" w:rsidRDefault="00B14519" w:rsidP="00D13592">
            <w:pPr>
              <w:jc w:val="center"/>
              <w:rPr>
                <w:rFonts w:cs="Arial"/>
                <w:color w:val="000000" w:themeColor="text1"/>
                <w:szCs w:val="16"/>
              </w:rPr>
            </w:pPr>
            <w:r w:rsidRPr="00781112">
              <w:rPr>
                <w:rFonts w:cs="Arial"/>
                <w:color w:val="000000" w:themeColor="text1"/>
                <w:szCs w:val="16"/>
              </w:rPr>
              <w:t>35.44%</w:t>
            </w:r>
          </w:p>
        </w:tc>
        <w:tc>
          <w:tcPr>
            <w:tcW w:w="659" w:type="pct"/>
            <w:vAlign w:val="center"/>
          </w:tcPr>
          <w:p w14:paraId="3206928B" w14:textId="11EAF098" w:rsidR="00B14519" w:rsidRPr="00781112" w:rsidRDefault="00B14519" w:rsidP="00D13592">
            <w:pPr>
              <w:jc w:val="center"/>
              <w:rPr>
                <w:rFonts w:cs="Arial"/>
                <w:color w:val="000000" w:themeColor="text1"/>
                <w:szCs w:val="16"/>
              </w:rPr>
            </w:pPr>
            <w:r w:rsidRPr="00781112">
              <w:rPr>
                <w:rFonts w:cs="Arial"/>
                <w:color w:val="000000" w:themeColor="text1"/>
                <w:szCs w:val="16"/>
              </w:rPr>
              <w:t>37.92%</w:t>
            </w:r>
          </w:p>
        </w:tc>
      </w:tr>
      <w:tr w:rsidR="00B14519" w:rsidRPr="00781112" w14:paraId="4229AE62" w14:textId="33381C2A" w:rsidTr="00451D7E">
        <w:tc>
          <w:tcPr>
            <w:tcW w:w="427" w:type="pct"/>
            <w:shd w:val="clear" w:color="auto" w:fill="auto"/>
            <w:vAlign w:val="center"/>
          </w:tcPr>
          <w:p w14:paraId="65BFCE1A" w14:textId="0D697A5F"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Reading</w:t>
            </w:r>
          </w:p>
        </w:tc>
        <w:tc>
          <w:tcPr>
            <w:tcW w:w="366" w:type="pct"/>
            <w:shd w:val="clear" w:color="auto" w:fill="auto"/>
            <w:vAlign w:val="center"/>
          </w:tcPr>
          <w:p w14:paraId="0A529643" w14:textId="25196352"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B &gt;=</w:t>
            </w:r>
          </w:p>
        </w:tc>
        <w:tc>
          <w:tcPr>
            <w:tcW w:w="912" w:type="pct"/>
            <w:shd w:val="clear" w:color="auto" w:fill="auto"/>
            <w:vAlign w:val="center"/>
          </w:tcPr>
          <w:p w14:paraId="62F8D3A7" w14:textId="0DE3112A" w:rsidR="00B14519" w:rsidRPr="00781112" w:rsidDel="00DE5045" w:rsidRDefault="00B14519" w:rsidP="00D13592">
            <w:pPr>
              <w:jc w:val="center"/>
              <w:rPr>
                <w:rFonts w:cs="Arial"/>
                <w:color w:val="000000" w:themeColor="text1"/>
                <w:szCs w:val="16"/>
              </w:rPr>
            </w:pPr>
            <w:r w:rsidRPr="00781112">
              <w:rPr>
                <w:rFonts w:cs="Arial"/>
                <w:color w:val="000000" w:themeColor="text1"/>
                <w:szCs w:val="16"/>
              </w:rPr>
              <w:t>Grade 8</w:t>
            </w:r>
          </w:p>
        </w:tc>
        <w:tc>
          <w:tcPr>
            <w:tcW w:w="659" w:type="pct"/>
            <w:shd w:val="clear" w:color="auto" w:fill="auto"/>
            <w:vAlign w:val="center"/>
          </w:tcPr>
          <w:p w14:paraId="1D5B4183" w14:textId="1238BC64" w:rsidR="00B14519" w:rsidRPr="00781112" w:rsidRDefault="00B14519" w:rsidP="00D13592">
            <w:pPr>
              <w:jc w:val="center"/>
              <w:rPr>
                <w:rFonts w:cs="Arial"/>
                <w:color w:val="000000" w:themeColor="text1"/>
                <w:szCs w:val="16"/>
              </w:rPr>
            </w:pPr>
            <w:r w:rsidRPr="00781112">
              <w:rPr>
                <w:rFonts w:cs="Arial"/>
                <w:color w:val="000000" w:themeColor="text1"/>
                <w:szCs w:val="16"/>
              </w:rPr>
              <w:t>32.53%</w:t>
            </w:r>
          </w:p>
        </w:tc>
        <w:tc>
          <w:tcPr>
            <w:tcW w:w="659" w:type="pct"/>
            <w:vAlign w:val="center"/>
          </w:tcPr>
          <w:p w14:paraId="200F306C" w14:textId="40F15380" w:rsidR="00B14519" w:rsidRPr="00781112" w:rsidRDefault="00B14519" w:rsidP="00D13592">
            <w:pPr>
              <w:jc w:val="center"/>
              <w:rPr>
                <w:rFonts w:cs="Arial"/>
                <w:color w:val="000000" w:themeColor="text1"/>
                <w:szCs w:val="16"/>
              </w:rPr>
            </w:pPr>
            <w:r w:rsidRPr="00781112">
              <w:rPr>
                <w:rFonts w:cs="Arial"/>
                <w:color w:val="000000" w:themeColor="text1"/>
                <w:szCs w:val="16"/>
              </w:rPr>
              <w:t>34.80%</w:t>
            </w:r>
          </w:p>
        </w:tc>
        <w:tc>
          <w:tcPr>
            <w:tcW w:w="659" w:type="pct"/>
            <w:vAlign w:val="center"/>
          </w:tcPr>
          <w:p w14:paraId="01C155DC" w14:textId="32FC3C15" w:rsidR="00B14519" w:rsidRPr="00781112" w:rsidRDefault="00B14519" w:rsidP="00D13592">
            <w:pPr>
              <w:jc w:val="center"/>
              <w:rPr>
                <w:rFonts w:cs="Arial"/>
                <w:color w:val="000000" w:themeColor="text1"/>
                <w:szCs w:val="16"/>
              </w:rPr>
            </w:pPr>
            <w:r w:rsidRPr="00781112">
              <w:rPr>
                <w:rFonts w:cs="Arial"/>
                <w:color w:val="000000" w:themeColor="text1"/>
                <w:szCs w:val="16"/>
              </w:rPr>
              <w:t>37.24%</w:t>
            </w:r>
          </w:p>
        </w:tc>
        <w:tc>
          <w:tcPr>
            <w:tcW w:w="659" w:type="pct"/>
            <w:vAlign w:val="center"/>
          </w:tcPr>
          <w:p w14:paraId="31A2EE92" w14:textId="183FF0A7" w:rsidR="00B14519" w:rsidRPr="00781112" w:rsidRDefault="00B14519" w:rsidP="00D13592">
            <w:pPr>
              <w:jc w:val="center"/>
              <w:rPr>
                <w:rFonts w:cs="Arial"/>
                <w:color w:val="000000" w:themeColor="text1"/>
                <w:szCs w:val="16"/>
              </w:rPr>
            </w:pPr>
            <w:r w:rsidRPr="00781112">
              <w:rPr>
                <w:rFonts w:cs="Arial"/>
                <w:color w:val="000000" w:themeColor="text1"/>
                <w:szCs w:val="16"/>
              </w:rPr>
              <w:t>39.85%</w:t>
            </w:r>
          </w:p>
        </w:tc>
        <w:tc>
          <w:tcPr>
            <w:tcW w:w="659" w:type="pct"/>
            <w:vAlign w:val="center"/>
          </w:tcPr>
          <w:p w14:paraId="52A72D95" w14:textId="51822CAD" w:rsidR="00B14519" w:rsidRPr="00781112" w:rsidRDefault="00B14519" w:rsidP="00D13592">
            <w:pPr>
              <w:jc w:val="center"/>
              <w:rPr>
                <w:rFonts w:cs="Arial"/>
                <w:color w:val="000000" w:themeColor="text1"/>
                <w:szCs w:val="16"/>
              </w:rPr>
            </w:pPr>
            <w:r w:rsidRPr="00781112">
              <w:rPr>
                <w:rFonts w:cs="Arial"/>
                <w:color w:val="000000" w:themeColor="text1"/>
                <w:szCs w:val="16"/>
              </w:rPr>
              <w:t>42.64%</w:t>
            </w:r>
          </w:p>
        </w:tc>
      </w:tr>
      <w:tr w:rsidR="00B14519" w:rsidRPr="00781112" w14:paraId="53D446D4" w14:textId="31EA6E11" w:rsidTr="00451D7E">
        <w:tc>
          <w:tcPr>
            <w:tcW w:w="427" w:type="pct"/>
            <w:shd w:val="clear" w:color="auto" w:fill="auto"/>
            <w:vAlign w:val="center"/>
          </w:tcPr>
          <w:p w14:paraId="5413BB65" w14:textId="22884284"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Reading</w:t>
            </w:r>
          </w:p>
        </w:tc>
        <w:tc>
          <w:tcPr>
            <w:tcW w:w="366" w:type="pct"/>
            <w:shd w:val="clear" w:color="auto" w:fill="auto"/>
            <w:vAlign w:val="center"/>
          </w:tcPr>
          <w:p w14:paraId="1408EAB6" w14:textId="5A0418AE"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C &gt;=</w:t>
            </w:r>
          </w:p>
        </w:tc>
        <w:tc>
          <w:tcPr>
            <w:tcW w:w="912" w:type="pct"/>
            <w:shd w:val="clear" w:color="auto" w:fill="auto"/>
            <w:vAlign w:val="center"/>
          </w:tcPr>
          <w:p w14:paraId="6E4FCBFF" w14:textId="158A4AA0" w:rsidR="00B14519" w:rsidRPr="00781112" w:rsidDel="00DE5045" w:rsidRDefault="00B14519" w:rsidP="00D13592">
            <w:pPr>
              <w:jc w:val="center"/>
              <w:rPr>
                <w:rFonts w:cs="Arial"/>
                <w:color w:val="000000" w:themeColor="text1"/>
                <w:szCs w:val="16"/>
              </w:rPr>
            </w:pPr>
            <w:r w:rsidRPr="00781112">
              <w:rPr>
                <w:rFonts w:cs="Arial"/>
                <w:color w:val="000000" w:themeColor="text1"/>
                <w:szCs w:val="16"/>
              </w:rPr>
              <w:t>Grade HS</w:t>
            </w:r>
          </w:p>
        </w:tc>
        <w:tc>
          <w:tcPr>
            <w:tcW w:w="659" w:type="pct"/>
            <w:shd w:val="clear" w:color="auto" w:fill="auto"/>
            <w:vAlign w:val="center"/>
          </w:tcPr>
          <w:p w14:paraId="3520F380" w14:textId="38C36219" w:rsidR="00B14519" w:rsidRPr="00781112" w:rsidRDefault="00B14519" w:rsidP="00D13592">
            <w:pPr>
              <w:jc w:val="center"/>
              <w:rPr>
                <w:rFonts w:cs="Arial"/>
                <w:color w:val="000000" w:themeColor="text1"/>
                <w:szCs w:val="16"/>
              </w:rPr>
            </w:pPr>
            <w:r w:rsidRPr="00781112">
              <w:rPr>
                <w:rFonts w:cs="Arial"/>
                <w:color w:val="000000" w:themeColor="text1"/>
                <w:szCs w:val="16"/>
              </w:rPr>
              <w:t>41.41%</w:t>
            </w:r>
          </w:p>
        </w:tc>
        <w:tc>
          <w:tcPr>
            <w:tcW w:w="659" w:type="pct"/>
            <w:vAlign w:val="center"/>
          </w:tcPr>
          <w:p w14:paraId="3305DD14" w14:textId="4DBBF69C" w:rsidR="00B14519" w:rsidRPr="00781112" w:rsidRDefault="00B14519" w:rsidP="00D13592">
            <w:pPr>
              <w:jc w:val="center"/>
              <w:rPr>
                <w:rFonts w:cs="Arial"/>
                <w:color w:val="000000" w:themeColor="text1"/>
                <w:szCs w:val="16"/>
              </w:rPr>
            </w:pPr>
            <w:r w:rsidRPr="00781112">
              <w:rPr>
                <w:rFonts w:cs="Arial"/>
                <w:color w:val="000000" w:themeColor="text1"/>
                <w:szCs w:val="16"/>
              </w:rPr>
              <w:t>44.31%</w:t>
            </w:r>
          </w:p>
        </w:tc>
        <w:tc>
          <w:tcPr>
            <w:tcW w:w="659" w:type="pct"/>
            <w:vAlign w:val="center"/>
          </w:tcPr>
          <w:p w14:paraId="02FF2601" w14:textId="545909AE" w:rsidR="00B14519" w:rsidRPr="00781112" w:rsidRDefault="00B14519" w:rsidP="00D13592">
            <w:pPr>
              <w:jc w:val="center"/>
              <w:rPr>
                <w:rFonts w:cs="Arial"/>
                <w:color w:val="000000" w:themeColor="text1"/>
                <w:szCs w:val="16"/>
              </w:rPr>
            </w:pPr>
            <w:r w:rsidRPr="00781112">
              <w:rPr>
                <w:rFonts w:cs="Arial"/>
                <w:color w:val="000000" w:themeColor="text1"/>
                <w:szCs w:val="16"/>
              </w:rPr>
              <w:t>47.41%</w:t>
            </w:r>
          </w:p>
        </w:tc>
        <w:tc>
          <w:tcPr>
            <w:tcW w:w="659" w:type="pct"/>
            <w:vAlign w:val="center"/>
          </w:tcPr>
          <w:p w14:paraId="607B9906" w14:textId="6058F884" w:rsidR="00B14519" w:rsidRPr="00781112" w:rsidRDefault="00B14519" w:rsidP="00D13592">
            <w:pPr>
              <w:jc w:val="center"/>
              <w:rPr>
                <w:rFonts w:cs="Arial"/>
                <w:color w:val="000000" w:themeColor="text1"/>
                <w:szCs w:val="16"/>
              </w:rPr>
            </w:pPr>
            <w:r w:rsidRPr="00781112">
              <w:rPr>
                <w:rFonts w:cs="Arial"/>
                <w:color w:val="000000" w:themeColor="text1"/>
                <w:szCs w:val="16"/>
              </w:rPr>
              <w:t>50.73%</w:t>
            </w:r>
          </w:p>
        </w:tc>
        <w:tc>
          <w:tcPr>
            <w:tcW w:w="659" w:type="pct"/>
            <w:vAlign w:val="center"/>
          </w:tcPr>
          <w:p w14:paraId="00AA5B51" w14:textId="2B22FFA4" w:rsidR="00B14519" w:rsidRPr="00781112" w:rsidRDefault="00B14519" w:rsidP="00D13592">
            <w:pPr>
              <w:jc w:val="center"/>
              <w:rPr>
                <w:rFonts w:cs="Arial"/>
                <w:color w:val="000000" w:themeColor="text1"/>
                <w:szCs w:val="16"/>
              </w:rPr>
            </w:pPr>
            <w:r w:rsidRPr="00781112">
              <w:rPr>
                <w:rFonts w:cs="Arial"/>
                <w:color w:val="000000" w:themeColor="text1"/>
                <w:szCs w:val="16"/>
              </w:rPr>
              <w:t>54.28%</w:t>
            </w:r>
          </w:p>
        </w:tc>
      </w:tr>
      <w:tr w:rsidR="00B14519" w:rsidRPr="00781112" w14:paraId="4D7E1CB4" w14:textId="31C0C80F" w:rsidTr="00451D7E">
        <w:tc>
          <w:tcPr>
            <w:tcW w:w="427" w:type="pct"/>
            <w:shd w:val="clear" w:color="auto" w:fill="auto"/>
            <w:vAlign w:val="center"/>
          </w:tcPr>
          <w:p w14:paraId="3E17FC71" w14:textId="77777777"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Math</w:t>
            </w:r>
          </w:p>
        </w:tc>
        <w:tc>
          <w:tcPr>
            <w:tcW w:w="366" w:type="pct"/>
            <w:shd w:val="clear" w:color="auto" w:fill="auto"/>
            <w:vAlign w:val="center"/>
          </w:tcPr>
          <w:p w14:paraId="393C59D6" w14:textId="4FA6AC82"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A &gt;=</w:t>
            </w:r>
          </w:p>
        </w:tc>
        <w:tc>
          <w:tcPr>
            <w:tcW w:w="912" w:type="pct"/>
            <w:shd w:val="clear" w:color="auto" w:fill="auto"/>
            <w:vAlign w:val="center"/>
          </w:tcPr>
          <w:p w14:paraId="06CBBAA1" w14:textId="25010E97" w:rsidR="00B14519" w:rsidRPr="00781112" w:rsidDel="00DE5045" w:rsidRDefault="00B14519" w:rsidP="00D13592">
            <w:pPr>
              <w:jc w:val="center"/>
              <w:rPr>
                <w:rFonts w:cs="Arial"/>
                <w:color w:val="000000" w:themeColor="text1"/>
                <w:szCs w:val="16"/>
              </w:rPr>
            </w:pPr>
            <w:r w:rsidRPr="00781112">
              <w:rPr>
                <w:rFonts w:cs="Arial"/>
                <w:color w:val="000000" w:themeColor="text1"/>
                <w:szCs w:val="16"/>
              </w:rPr>
              <w:t>Grade 4</w:t>
            </w:r>
          </w:p>
        </w:tc>
        <w:tc>
          <w:tcPr>
            <w:tcW w:w="659" w:type="pct"/>
            <w:shd w:val="clear" w:color="auto" w:fill="auto"/>
            <w:vAlign w:val="center"/>
          </w:tcPr>
          <w:p w14:paraId="5B4F37F7" w14:textId="0586B65B" w:rsidR="00B14519" w:rsidRPr="00781112" w:rsidRDefault="00B14519" w:rsidP="00D13592">
            <w:pPr>
              <w:jc w:val="center"/>
              <w:rPr>
                <w:rFonts w:cs="Arial"/>
                <w:color w:val="000000" w:themeColor="text1"/>
                <w:szCs w:val="16"/>
              </w:rPr>
            </w:pPr>
            <w:r w:rsidRPr="00781112">
              <w:rPr>
                <w:rFonts w:cs="Arial"/>
                <w:color w:val="000000" w:themeColor="text1"/>
                <w:szCs w:val="16"/>
              </w:rPr>
              <w:t>57.37%</w:t>
            </w:r>
          </w:p>
        </w:tc>
        <w:tc>
          <w:tcPr>
            <w:tcW w:w="659" w:type="pct"/>
            <w:vAlign w:val="center"/>
          </w:tcPr>
          <w:p w14:paraId="5BCC413B" w14:textId="09A05E02" w:rsidR="00B14519" w:rsidRPr="00781112" w:rsidRDefault="00B14519" w:rsidP="00D13592">
            <w:pPr>
              <w:jc w:val="center"/>
              <w:rPr>
                <w:rFonts w:cs="Arial"/>
                <w:color w:val="000000" w:themeColor="text1"/>
                <w:szCs w:val="16"/>
              </w:rPr>
            </w:pPr>
            <w:r w:rsidRPr="00781112">
              <w:rPr>
                <w:rFonts w:cs="Arial"/>
                <w:color w:val="000000" w:themeColor="text1"/>
                <w:szCs w:val="16"/>
              </w:rPr>
              <w:t>61.39%</w:t>
            </w:r>
          </w:p>
        </w:tc>
        <w:tc>
          <w:tcPr>
            <w:tcW w:w="659" w:type="pct"/>
            <w:vAlign w:val="center"/>
          </w:tcPr>
          <w:p w14:paraId="45EF5FCE" w14:textId="00D7D29B" w:rsidR="00B14519" w:rsidRPr="00781112" w:rsidRDefault="00B14519" w:rsidP="00D13592">
            <w:pPr>
              <w:jc w:val="center"/>
              <w:rPr>
                <w:rFonts w:cs="Arial"/>
                <w:color w:val="000000" w:themeColor="text1"/>
                <w:szCs w:val="16"/>
              </w:rPr>
            </w:pPr>
            <w:r w:rsidRPr="00781112">
              <w:rPr>
                <w:rFonts w:cs="Arial"/>
                <w:color w:val="000000" w:themeColor="text1"/>
                <w:szCs w:val="16"/>
              </w:rPr>
              <w:t>65.69%</w:t>
            </w:r>
          </w:p>
        </w:tc>
        <w:tc>
          <w:tcPr>
            <w:tcW w:w="659" w:type="pct"/>
            <w:vAlign w:val="center"/>
          </w:tcPr>
          <w:p w14:paraId="68AE213E" w14:textId="4ECF4085" w:rsidR="00B14519" w:rsidRPr="00781112" w:rsidRDefault="00B14519" w:rsidP="00D13592">
            <w:pPr>
              <w:jc w:val="center"/>
              <w:rPr>
                <w:rFonts w:cs="Arial"/>
                <w:color w:val="000000" w:themeColor="text1"/>
                <w:szCs w:val="16"/>
              </w:rPr>
            </w:pPr>
            <w:r w:rsidRPr="00781112">
              <w:rPr>
                <w:rFonts w:cs="Arial"/>
                <w:color w:val="000000" w:themeColor="text1"/>
                <w:szCs w:val="16"/>
              </w:rPr>
              <w:t>70.28%</w:t>
            </w:r>
          </w:p>
        </w:tc>
        <w:tc>
          <w:tcPr>
            <w:tcW w:w="659" w:type="pct"/>
            <w:vAlign w:val="center"/>
          </w:tcPr>
          <w:p w14:paraId="7B3E2D7F" w14:textId="73124E34" w:rsidR="00B14519" w:rsidRPr="00781112" w:rsidRDefault="00B14519" w:rsidP="00D13592">
            <w:pPr>
              <w:jc w:val="center"/>
              <w:rPr>
                <w:rFonts w:cs="Arial"/>
                <w:color w:val="000000" w:themeColor="text1"/>
                <w:szCs w:val="16"/>
              </w:rPr>
            </w:pPr>
            <w:r w:rsidRPr="00781112">
              <w:rPr>
                <w:rFonts w:cs="Arial"/>
                <w:color w:val="000000" w:themeColor="text1"/>
                <w:szCs w:val="16"/>
              </w:rPr>
              <w:t>75.20%</w:t>
            </w:r>
          </w:p>
        </w:tc>
      </w:tr>
      <w:tr w:rsidR="00B14519" w:rsidRPr="00781112" w14:paraId="6A0B25C6" w14:textId="3CA923D5" w:rsidTr="00451D7E">
        <w:tc>
          <w:tcPr>
            <w:tcW w:w="427" w:type="pct"/>
            <w:shd w:val="clear" w:color="auto" w:fill="auto"/>
            <w:vAlign w:val="center"/>
          </w:tcPr>
          <w:p w14:paraId="7A201508" w14:textId="57E216ED"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Math</w:t>
            </w:r>
          </w:p>
        </w:tc>
        <w:tc>
          <w:tcPr>
            <w:tcW w:w="366" w:type="pct"/>
            <w:shd w:val="clear" w:color="auto" w:fill="auto"/>
            <w:vAlign w:val="center"/>
          </w:tcPr>
          <w:p w14:paraId="3BD3C679" w14:textId="4834DDCE"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B &gt;=</w:t>
            </w:r>
          </w:p>
        </w:tc>
        <w:tc>
          <w:tcPr>
            <w:tcW w:w="912" w:type="pct"/>
            <w:shd w:val="clear" w:color="auto" w:fill="auto"/>
            <w:vAlign w:val="center"/>
          </w:tcPr>
          <w:p w14:paraId="75E8E6D8" w14:textId="7D040B60" w:rsidR="00B14519" w:rsidRPr="00781112" w:rsidDel="00DE5045" w:rsidRDefault="00B14519" w:rsidP="00D13592">
            <w:pPr>
              <w:jc w:val="center"/>
              <w:rPr>
                <w:rFonts w:cs="Arial"/>
                <w:color w:val="000000" w:themeColor="text1"/>
                <w:szCs w:val="16"/>
              </w:rPr>
            </w:pPr>
            <w:r w:rsidRPr="00781112">
              <w:rPr>
                <w:rFonts w:cs="Arial"/>
                <w:color w:val="000000" w:themeColor="text1"/>
                <w:szCs w:val="16"/>
              </w:rPr>
              <w:t>Grade 8</w:t>
            </w:r>
          </w:p>
        </w:tc>
        <w:tc>
          <w:tcPr>
            <w:tcW w:w="659" w:type="pct"/>
            <w:shd w:val="clear" w:color="auto" w:fill="auto"/>
            <w:vAlign w:val="center"/>
          </w:tcPr>
          <w:p w14:paraId="4671DF75" w14:textId="2CD78B1B" w:rsidR="00B14519" w:rsidRPr="00781112" w:rsidRDefault="00B14519" w:rsidP="00D13592">
            <w:pPr>
              <w:jc w:val="center"/>
              <w:rPr>
                <w:rFonts w:cs="Arial"/>
                <w:color w:val="000000" w:themeColor="text1"/>
                <w:szCs w:val="16"/>
              </w:rPr>
            </w:pPr>
            <w:r w:rsidRPr="00781112">
              <w:rPr>
                <w:rFonts w:cs="Arial"/>
                <w:color w:val="000000" w:themeColor="text1"/>
                <w:szCs w:val="16"/>
              </w:rPr>
              <w:t>15.53%</w:t>
            </w:r>
          </w:p>
        </w:tc>
        <w:tc>
          <w:tcPr>
            <w:tcW w:w="659" w:type="pct"/>
            <w:vAlign w:val="center"/>
          </w:tcPr>
          <w:p w14:paraId="0BF63C58" w14:textId="72F24C80" w:rsidR="00B14519" w:rsidRPr="00781112" w:rsidRDefault="00B14519" w:rsidP="00D13592">
            <w:pPr>
              <w:jc w:val="center"/>
              <w:rPr>
                <w:rFonts w:cs="Arial"/>
                <w:color w:val="000000" w:themeColor="text1"/>
                <w:szCs w:val="16"/>
              </w:rPr>
            </w:pPr>
            <w:r w:rsidRPr="00781112">
              <w:rPr>
                <w:rFonts w:cs="Arial"/>
                <w:color w:val="000000" w:themeColor="text1"/>
                <w:szCs w:val="16"/>
              </w:rPr>
              <w:t>16.61%</w:t>
            </w:r>
          </w:p>
        </w:tc>
        <w:tc>
          <w:tcPr>
            <w:tcW w:w="659" w:type="pct"/>
            <w:vAlign w:val="center"/>
          </w:tcPr>
          <w:p w14:paraId="0075BBBD" w14:textId="7AFABF25" w:rsidR="00B14519" w:rsidRPr="00781112" w:rsidRDefault="00B14519" w:rsidP="00D13592">
            <w:pPr>
              <w:jc w:val="center"/>
              <w:rPr>
                <w:rFonts w:cs="Arial"/>
                <w:color w:val="000000" w:themeColor="text1"/>
                <w:szCs w:val="16"/>
              </w:rPr>
            </w:pPr>
            <w:r w:rsidRPr="00781112">
              <w:rPr>
                <w:rFonts w:cs="Arial"/>
                <w:color w:val="000000" w:themeColor="text1"/>
                <w:szCs w:val="16"/>
              </w:rPr>
              <w:t>17.78%</w:t>
            </w:r>
          </w:p>
        </w:tc>
        <w:tc>
          <w:tcPr>
            <w:tcW w:w="659" w:type="pct"/>
            <w:vAlign w:val="center"/>
          </w:tcPr>
          <w:p w14:paraId="0162408E" w14:textId="763A5CFC" w:rsidR="00B14519" w:rsidRPr="00781112" w:rsidRDefault="00B14519" w:rsidP="00D13592">
            <w:pPr>
              <w:jc w:val="center"/>
              <w:rPr>
                <w:rFonts w:cs="Arial"/>
                <w:color w:val="000000" w:themeColor="text1"/>
                <w:szCs w:val="16"/>
              </w:rPr>
            </w:pPr>
            <w:r w:rsidRPr="00781112">
              <w:rPr>
                <w:rFonts w:cs="Arial"/>
                <w:color w:val="000000" w:themeColor="text1"/>
                <w:szCs w:val="16"/>
              </w:rPr>
              <w:t>19.02%</w:t>
            </w:r>
          </w:p>
        </w:tc>
        <w:tc>
          <w:tcPr>
            <w:tcW w:w="659" w:type="pct"/>
            <w:vAlign w:val="center"/>
          </w:tcPr>
          <w:p w14:paraId="31533AB0" w14:textId="168489BE" w:rsidR="00B14519" w:rsidRPr="00781112" w:rsidRDefault="00B14519" w:rsidP="00D13592">
            <w:pPr>
              <w:jc w:val="center"/>
              <w:rPr>
                <w:rFonts w:cs="Arial"/>
                <w:color w:val="000000" w:themeColor="text1"/>
                <w:szCs w:val="16"/>
              </w:rPr>
            </w:pPr>
            <w:r w:rsidRPr="00781112">
              <w:rPr>
                <w:rFonts w:cs="Arial"/>
                <w:color w:val="000000" w:themeColor="text1"/>
                <w:szCs w:val="16"/>
              </w:rPr>
              <w:t>20.35%</w:t>
            </w:r>
          </w:p>
        </w:tc>
      </w:tr>
      <w:tr w:rsidR="00B14519" w:rsidRPr="00781112" w14:paraId="72653908" w14:textId="04D938F0" w:rsidTr="00451D7E">
        <w:tc>
          <w:tcPr>
            <w:tcW w:w="427" w:type="pct"/>
            <w:shd w:val="clear" w:color="auto" w:fill="auto"/>
            <w:vAlign w:val="center"/>
          </w:tcPr>
          <w:p w14:paraId="48B507DA" w14:textId="179672F1"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Math</w:t>
            </w:r>
          </w:p>
        </w:tc>
        <w:tc>
          <w:tcPr>
            <w:tcW w:w="366" w:type="pct"/>
            <w:shd w:val="clear" w:color="auto" w:fill="auto"/>
            <w:vAlign w:val="center"/>
          </w:tcPr>
          <w:p w14:paraId="63FB17C0" w14:textId="2F2DF4DD"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C &gt;=</w:t>
            </w:r>
          </w:p>
        </w:tc>
        <w:tc>
          <w:tcPr>
            <w:tcW w:w="912" w:type="pct"/>
            <w:shd w:val="clear" w:color="auto" w:fill="auto"/>
            <w:vAlign w:val="center"/>
          </w:tcPr>
          <w:p w14:paraId="54F8A2F9" w14:textId="5C3A3F72" w:rsidR="00B14519" w:rsidRPr="00781112" w:rsidDel="00DE5045" w:rsidRDefault="00B14519" w:rsidP="00D13592">
            <w:pPr>
              <w:jc w:val="center"/>
              <w:rPr>
                <w:rFonts w:cs="Arial"/>
                <w:color w:val="000000" w:themeColor="text1"/>
                <w:szCs w:val="16"/>
              </w:rPr>
            </w:pPr>
            <w:r w:rsidRPr="00781112">
              <w:rPr>
                <w:rFonts w:cs="Arial"/>
                <w:color w:val="000000" w:themeColor="text1"/>
                <w:szCs w:val="16"/>
              </w:rPr>
              <w:t>Grade HS</w:t>
            </w:r>
          </w:p>
        </w:tc>
        <w:tc>
          <w:tcPr>
            <w:tcW w:w="659" w:type="pct"/>
            <w:shd w:val="clear" w:color="auto" w:fill="auto"/>
            <w:vAlign w:val="center"/>
          </w:tcPr>
          <w:p w14:paraId="32CB0D9F" w14:textId="65605481" w:rsidR="00B14519" w:rsidRPr="00781112" w:rsidRDefault="00B14519" w:rsidP="00D13592">
            <w:pPr>
              <w:jc w:val="center"/>
              <w:rPr>
                <w:rFonts w:cs="Arial"/>
                <w:color w:val="000000" w:themeColor="text1"/>
                <w:szCs w:val="16"/>
              </w:rPr>
            </w:pPr>
            <w:r w:rsidRPr="00781112">
              <w:rPr>
                <w:rFonts w:cs="Arial"/>
                <w:color w:val="000000" w:themeColor="text1"/>
                <w:szCs w:val="16"/>
              </w:rPr>
              <w:t>48.90%</w:t>
            </w:r>
          </w:p>
        </w:tc>
        <w:tc>
          <w:tcPr>
            <w:tcW w:w="659" w:type="pct"/>
            <w:vAlign w:val="center"/>
          </w:tcPr>
          <w:p w14:paraId="72012D7E" w14:textId="10B8E7BA" w:rsidR="00B14519" w:rsidRPr="00781112" w:rsidRDefault="00B14519" w:rsidP="00D13592">
            <w:pPr>
              <w:jc w:val="center"/>
              <w:rPr>
                <w:rFonts w:cs="Arial"/>
                <w:color w:val="000000" w:themeColor="text1"/>
                <w:szCs w:val="16"/>
              </w:rPr>
            </w:pPr>
            <w:r w:rsidRPr="00781112">
              <w:rPr>
                <w:rFonts w:cs="Arial"/>
                <w:color w:val="000000" w:themeColor="text1"/>
                <w:szCs w:val="16"/>
              </w:rPr>
              <w:t>52.32%</w:t>
            </w:r>
          </w:p>
        </w:tc>
        <w:tc>
          <w:tcPr>
            <w:tcW w:w="659" w:type="pct"/>
            <w:vAlign w:val="center"/>
          </w:tcPr>
          <w:p w14:paraId="323B3F79" w14:textId="5FA94A39" w:rsidR="00B14519" w:rsidRPr="00781112" w:rsidRDefault="00B14519" w:rsidP="00D13592">
            <w:pPr>
              <w:jc w:val="center"/>
              <w:rPr>
                <w:rFonts w:cs="Arial"/>
                <w:color w:val="000000" w:themeColor="text1"/>
                <w:szCs w:val="16"/>
              </w:rPr>
            </w:pPr>
            <w:r w:rsidRPr="00781112">
              <w:rPr>
                <w:rFonts w:cs="Arial"/>
                <w:color w:val="000000" w:themeColor="text1"/>
                <w:szCs w:val="16"/>
              </w:rPr>
              <w:t>55.98%</w:t>
            </w:r>
          </w:p>
        </w:tc>
        <w:tc>
          <w:tcPr>
            <w:tcW w:w="659" w:type="pct"/>
            <w:vAlign w:val="center"/>
          </w:tcPr>
          <w:p w14:paraId="4A1DD032" w14:textId="1316ECD4" w:rsidR="00B14519" w:rsidRPr="00781112" w:rsidRDefault="00B14519" w:rsidP="00D13592">
            <w:pPr>
              <w:jc w:val="center"/>
              <w:rPr>
                <w:rFonts w:cs="Arial"/>
                <w:color w:val="000000" w:themeColor="text1"/>
                <w:szCs w:val="16"/>
              </w:rPr>
            </w:pPr>
            <w:r w:rsidRPr="00781112">
              <w:rPr>
                <w:rFonts w:cs="Arial"/>
                <w:color w:val="000000" w:themeColor="text1"/>
                <w:szCs w:val="16"/>
              </w:rPr>
              <w:t>59.90%</w:t>
            </w:r>
          </w:p>
        </w:tc>
        <w:tc>
          <w:tcPr>
            <w:tcW w:w="659" w:type="pct"/>
            <w:vAlign w:val="center"/>
          </w:tcPr>
          <w:p w14:paraId="74C8F676" w14:textId="54D72167" w:rsidR="00B14519" w:rsidRPr="00781112" w:rsidRDefault="00B14519" w:rsidP="00D13592">
            <w:pPr>
              <w:jc w:val="center"/>
              <w:rPr>
                <w:rFonts w:cs="Arial"/>
                <w:color w:val="000000" w:themeColor="text1"/>
                <w:szCs w:val="16"/>
              </w:rPr>
            </w:pPr>
            <w:r w:rsidRPr="00781112">
              <w:rPr>
                <w:rFonts w:cs="Arial"/>
                <w:color w:val="000000" w:themeColor="text1"/>
                <w:szCs w:val="16"/>
              </w:rPr>
              <w:t>64.10%</w:t>
            </w:r>
          </w:p>
        </w:tc>
      </w:tr>
    </w:tbl>
    <w:p w14:paraId="113C15D2" w14:textId="77777777" w:rsidR="00140972" w:rsidRDefault="00140972">
      <w:pPr>
        <w:spacing w:before="0" w:after="200" w:line="276" w:lineRule="auto"/>
        <w:rPr>
          <w:b/>
          <w:color w:val="000000" w:themeColor="text1"/>
        </w:rPr>
      </w:pPr>
      <w:r>
        <w:rPr>
          <w:b/>
          <w:color w:val="000000" w:themeColor="text1"/>
        </w:rPr>
        <w:br w:type="page"/>
      </w:r>
    </w:p>
    <w:p w14:paraId="0A08A514" w14:textId="090EA0D1" w:rsidR="002D145D" w:rsidRPr="00781112" w:rsidRDefault="002D145D" w:rsidP="004369B2">
      <w:pPr>
        <w:rPr>
          <w:b/>
          <w:color w:val="000000" w:themeColor="text1"/>
        </w:rPr>
      </w:pPr>
      <w:r w:rsidRPr="00781112">
        <w:rPr>
          <w:b/>
          <w:color w:val="000000" w:themeColor="text1"/>
        </w:rPr>
        <w:lastRenderedPageBreak/>
        <w:t xml:space="preserve">Targets: Description of Stakeholder Input </w:t>
      </w:r>
    </w:p>
    <w:p w14:paraId="2261CE05" w14:textId="31E113F2" w:rsidR="002D145D" w:rsidRPr="00781112" w:rsidRDefault="002D145D" w:rsidP="002D145D">
      <w:pPr>
        <w:rPr>
          <w:rFonts w:cs="Arial"/>
          <w:color w:val="000000" w:themeColor="text1"/>
          <w:szCs w:val="16"/>
        </w:rPr>
      </w:pPr>
    </w:p>
    <w:p w14:paraId="4A15E54A" w14:textId="77777777" w:rsidR="00B8751C" w:rsidRPr="00781112" w:rsidRDefault="00B8751C">
      <w:pPr>
        <w:rPr>
          <w:b/>
          <w:color w:val="000000" w:themeColor="text1"/>
        </w:rPr>
      </w:pPr>
    </w:p>
    <w:p w14:paraId="01651096" w14:textId="7DACBE8A" w:rsidR="000A5A2E" w:rsidRPr="00781112" w:rsidRDefault="00FA33C9">
      <w:pPr>
        <w:rPr>
          <w:b/>
          <w:color w:val="000000" w:themeColor="text1"/>
        </w:rPr>
      </w:pPr>
      <w:r>
        <w:rPr>
          <w:b/>
          <w:color w:val="000000" w:themeColor="text1"/>
        </w:rPr>
        <w:t>FFY 2021 Data Disaggregation from EDFacts</w:t>
      </w:r>
    </w:p>
    <w:p w14:paraId="42AECFE6"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4E62FCFE" w14:textId="0B9900E2" w:rsidR="00A10323" w:rsidRPr="00781112" w:rsidRDefault="002B7490" w:rsidP="00286BDF">
      <w:pPr>
        <w:rPr>
          <w:rFonts w:cs="Arial"/>
          <w:color w:val="000000" w:themeColor="text1"/>
          <w:szCs w:val="16"/>
        </w:rPr>
      </w:pPr>
      <w:r w:rsidRPr="00781112">
        <w:rPr>
          <w:rFonts w:cs="Arial"/>
          <w:color w:val="000000" w:themeColor="text1"/>
          <w:szCs w:val="16"/>
        </w:rPr>
        <w:t>SY 2021-22 Assessment Data Groups - Reading (EDFacts file spec FS178; Data Group: 584)</w:t>
      </w:r>
    </w:p>
    <w:p w14:paraId="5E404A07"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46908A6B" w14:textId="07C3945A" w:rsidR="00A10323" w:rsidRPr="00781112" w:rsidRDefault="002B7490" w:rsidP="00286BDF">
      <w:pPr>
        <w:rPr>
          <w:rFonts w:cs="Arial"/>
          <w:color w:val="000000" w:themeColor="text1"/>
          <w:szCs w:val="16"/>
        </w:rPr>
      </w:pPr>
      <w:r w:rsidRPr="00781112">
        <w:rPr>
          <w:rFonts w:cs="Arial"/>
          <w:color w:val="000000" w:themeColor="text1"/>
          <w:szCs w:val="16"/>
        </w:rPr>
        <w:t>04/05/2023</w:t>
      </w:r>
    </w:p>
    <w:p w14:paraId="7A786FF9" w14:textId="77777777" w:rsidR="00A63347" w:rsidRPr="00781112" w:rsidRDefault="00A63347">
      <w:pPr>
        <w:rPr>
          <w:b/>
          <w:color w:val="000000" w:themeColor="text1"/>
        </w:rPr>
      </w:pPr>
    </w:p>
    <w:p w14:paraId="603FD8CB" w14:textId="05C9185C"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428FB0F7" w14:textId="08DAAE1B" w:rsidTr="00E95FBF">
        <w:tc>
          <w:tcPr>
            <w:tcW w:w="2695" w:type="dxa"/>
            <w:shd w:val="clear" w:color="auto" w:fill="auto"/>
          </w:tcPr>
          <w:p w14:paraId="3C2A5B11" w14:textId="73EE486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3FF46CFF" w14:textId="175C9EF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1F0659F7" w14:textId="574B33D5"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51B61EB6" w14:textId="7B1064DE"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15C4E2F5" w14:textId="23A18F5A" w:rsidTr="00E95FBF">
        <w:tc>
          <w:tcPr>
            <w:tcW w:w="2695" w:type="dxa"/>
            <w:shd w:val="clear" w:color="auto" w:fill="auto"/>
          </w:tcPr>
          <w:p w14:paraId="1D84B931" w14:textId="3EFA8778"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07C14EE4" w14:textId="28486B47" w:rsidR="005A486A" w:rsidRPr="00781112" w:rsidRDefault="005A486A" w:rsidP="00360DD6">
            <w:pPr>
              <w:jc w:val="center"/>
              <w:rPr>
                <w:b/>
                <w:color w:val="000000" w:themeColor="text1"/>
              </w:rPr>
            </w:pPr>
            <w:r w:rsidRPr="00781112">
              <w:rPr>
                <w:color w:val="000000" w:themeColor="text1"/>
              </w:rPr>
              <w:t>741</w:t>
            </w:r>
          </w:p>
        </w:tc>
        <w:tc>
          <w:tcPr>
            <w:tcW w:w="2700" w:type="dxa"/>
            <w:shd w:val="clear" w:color="auto" w:fill="auto"/>
            <w:vAlign w:val="center"/>
          </w:tcPr>
          <w:p w14:paraId="1DFC3C40" w14:textId="5833F145" w:rsidR="005A486A" w:rsidRPr="00781112" w:rsidRDefault="005A486A" w:rsidP="00360DD6">
            <w:pPr>
              <w:jc w:val="center"/>
              <w:rPr>
                <w:b/>
                <w:color w:val="000000" w:themeColor="text1"/>
              </w:rPr>
            </w:pPr>
            <w:r w:rsidRPr="00781112">
              <w:rPr>
                <w:color w:val="000000" w:themeColor="text1"/>
              </w:rPr>
              <w:t>741</w:t>
            </w:r>
          </w:p>
        </w:tc>
        <w:tc>
          <w:tcPr>
            <w:tcW w:w="2700" w:type="dxa"/>
            <w:shd w:val="clear" w:color="auto" w:fill="auto"/>
            <w:vAlign w:val="center"/>
          </w:tcPr>
          <w:p w14:paraId="70A0184C" w14:textId="4D57349B" w:rsidR="005A486A" w:rsidRPr="00781112" w:rsidRDefault="005A486A" w:rsidP="00360DD6">
            <w:pPr>
              <w:jc w:val="center"/>
              <w:rPr>
                <w:b/>
                <w:color w:val="000000" w:themeColor="text1"/>
              </w:rPr>
            </w:pPr>
            <w:r w:rsidRPr="00781112">
              <w:rPr>
                <w:color w:val="000000" w:themeColor="text1"/>
              </w:rPr>
              <w:t>659</w:t>
            </w:r>
          </w:p>
        </w:tc>
      </w:tr>
      <w:tr w:rsidR="005A486A" w:rsidRPr="00781112" w14:paraId="3BE009FE" w14:textId="48A19AF7" w:rsidTr="00E95FBF">
        <w:tc>
          <w:tcPr>
            <w:tcW w:w="2695" w:type="dxa"/>
            <w:shd w:val="clear" w:color="auto" w:fill="auto"/>
          </w:tcPr>
          <w:p w14:paraId="3D43994F" w14:textId="3B46415A"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55D5067" w14:textId="45460D4D" w:rsidR="005A486A" w:rsidRPr="00781112" w:rsidRDefault="005A486A" w:rsidP="00360DD6">
            <w:pPr>
              <w:jc w:val="center"/>
              <w:rPr>
                <w:b/>
                <w:color w:val="000000" w:themeColor="text1"/>
              </w:rPr>
            </w:pPr>
            <w:r w:rsidRPr="00781112">
              <w:rPr>
                <w:color w:val="000000" w:themeColor="text1"/>
              </w:rPr>
              <w:t>166</w:t>
            </w:r>
          </w:p>
        </w:tc>
        <w:tc>
          <w:tcPr>
            <w:tcW w:w="2700" w:type="dxa"/>
            <w:shd w:val="clear" w:color="auto" w:fill="auto"/>
            <w:vAlign w:val="center"/>
          </w:tcPr>
          <w:p w14:paraId="47E25E0D" w14:textId="60D76349" w:rsidR="005A486A" w:rsidRPr="00781112" w:rsidRDefault="005A486A" w:rsidP="00360DD6">
            <w:pPr>
              <w:jc w:val="center"/>
              <w:rPr>
                <w:b/>
                <w:color w:val="000000" w:themeColor="text1"/>
              </w:rPr>
            </w:pPr>
            <w:r w:rsidRPr="00781112">
              <w:rPr>
                <w:color w:val="000000" w:themeColor="text1"/>
              </w:rPr>
              <w:t>242</w:t>
            </w:r>
          </w:p>
        </w:tc>
        <w:tc>
          <w:tcPr>
            <w:tcW w:w="2700" w:type="dxa"/>
            <w:shd w:val="clear" w:color="auto" w:fill="auto"/>
            <w:vAlign w:val="center"/>
          </w:tcPr>
          <w:p w14:paraId="523F025F" w14:textId="6533B4FD" w:rsidR="005A486A" w:rsidRPr="00781112" w:rsidRDefault="005A486A" w:rsidP="00360DD6">
            <w:pPr>
              <w:jc w:val="center"/>
              <w:rPr>
                <w:b/>
                <w:color w:val="000000" w:themeColor="text1"/>
              </w:rPr>
            </w:pPr>
            <w:r w:rsidRPr="00781112">
              <w:rPr>
                <w:color w:val="000000" w:themeColor="text1"/>
              </w:rPr>
              <w:t>255</w:t>
            </w:r>
          </w:p>
        </w:tc>
      </w:tr>
    </w:tbl>
    <w:p w14:paraId="31899BDA"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6AEE1AE1" w14:textId="785594EB" w:rsidR="00BD7229" w:rsidRPr="00781112" w:rsidRDefault="002B7490" w:rsidP="00286BDF">
      <w:pPr>
        <w:rPr>
          <w:rFonts w:cs="Arial"/>
          <w:color w:val="000000" w:themeColor="text1"/>
          <w:szCs w:val="16"/>
        </w:rPr>
      </w:pPr>
      <w:r w:rsidRPr="00781112">
        <w:rPr>
          <w:rFonts w:cs="Arial"/>
          <w:color w:val="000000" w:themeColor="text1"/>
          <w:szCs w:val="16"/>
        </w:rPr>
        <w:t>SY 2021-22 Assessment Data Groups - Math (EDFacts file spec FS175; Data Group: 583)</w:t>
      </w:r>
    </w:p>
    <w:p w14:paraId="59F25B6E"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4B8A206D" w14:textId="36B0E5E5" w:rsidR="00BD7229" w:rsidRPr="00781112" w:rsidRDefault="002B7490" w:rsidP="00286BDF">
      <w:pPr>
        <w:rPr>
          <w:rFonts w:cs="Arial"/>
          <w:color w:val="000000" w:themeColor="text1"/>
          <w:szCs w:val="16"/>
        </w:rPr>
      </w:pPr>
      <w:r w:rsidRPr="00781112">
        <w:rPr>
          <w:rFonts w:cs="Arial"/>
          <w:color w:val="000000" w:themeColor="text1"/>
          <w:szCs w:val="16"/>
        </w:rPr>
        <w:t>04/05/2023</w:t>
      </w:r>
    </w:p>
    <w:p w14:paraId="3365AF3D" w14:textId="2AFA5758" w:rsidR="00162F4A" w:rsidRPr="00781112" w:rsidRDefault="00162F4A">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62DE1B1F" w14:textId="77777777" w:rsidTr="00E95FBF">
        <w:tc>
          <w:tcPr>
            <w:tcW w:w="2695" w:type="dxa"/>
            <w:shd w:val="clear" w:color="auto" w:fill="auto"/>
          </w:tcPr>
          <w:p w14:paraId="190C09EE" w14:textId="0BB3377D"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7DE5B404" w14:textId="75646743"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7038055F" w14:textId="27DA5FAA"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3032FA89" w14:textId="7F94CD01"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33333988" w14:textId="77777777" w:rsidTr="00E95FBF">
        <w:tc>
          <w:tcPr>
            <w:tcW w:w="2695" w:type="dxa"/>
            <w:shd w:val="clear" w:color="auto" w:fill="auto"/>
          </w:tcPr>
          <w:p w14:paraId="7DC36ACB" w14:textId="0A898DD0"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4CE4FB96" w14:textId="01B59A61" w:rsidR="00660173" w:rsidRPr="00781112" w:rsidRDefault="00660173" w:rsidP="00360DD6">
            <w:pPr>
              <w:jc w:val="center"/>
              <w:rPr>
                <w:b/>
                <w:color w:val="000000" w:themeColor="text1"/>
              </w:rPr>
            </w:pPr>
            <w:r w:rsidRPr="00781112">
              <w:rPr>
                <w:color w:val="000000" w:themeColor="text1"/>
              </w:rPr>
              <w:t>741</w:t>
            </w:r>
          </w:p>
        </w:tc>
        <w:tc>
          <w:tcPr>
            <w:tcW w:w="2700" w:type="dxa"/>
            <w:shd w:val="clear" w:color="auto" w:fill="auto"/>
            <w:vAlign w:val="center"/>
          </w:tcPr>
          <w:p w14:paraId="07947D7E" w14:textId="50342908" w:rsidR="00660173" w:rsidRPr="00781112" w:rsidRDefault="00660173" w:rsidP="00360DD6">
            <w:pPr>
              <w:jc w:val="center"/>
              <w:rPr>
                <w:b/>
                <w:color w:val="000000" w:themeColor="text1"/>
              </w:rPr>
            </w:pPr>
            <w:r w:rsidRPr="00781112">
              <w:rPr>
                <w:color w:val="000000" w:themeColor="text1"/>
              </w:rPr>
              <w:t>742</w:t>
            </w:r>
          </w:p>
        </w:tc>
        <w:tc>
          <w:tcPr>
            <w:tcW w:w="2700" w:type="dxa"/>
            <w:shd w:val="clear" w:color="auto" w:fill="auto"/>
            <w:vAlign w:val="center"/>
          </w:tcPr>
          <w:p w14:paraId="669EEFA3" w14:textId="194786E9" w:rsidR="00660173" w:rsidRPr="00781112" w:rsidRDefault="00660173" w:rsidP="00360DD6">
            <w:pPr>
              <w:jc w:val="center"/>
              <w:rPr>
                <w:b/>
                <w:color w:val="000000" w:themeColor="text1"/>
              </w:rPr>
            </w:pPr>
            <w:r w:rsidRPr="00781112">
              <w:rPr>
                <w:color w:val="000000" w:themeColor="text1"/>
              </w:rPr>
              <w:t>657</w:t>
            </w:r>
          </w:p>
        </w:tc>
      </w:tr>
      <w:tr w:rsidR="00660173" w:rsidRPr="00781112" w14:paraId="7E58498F" w14:textId="77777777" w:rsidTr="00E95FBF">
        <w:tc>
          <w:tcPr>
            <w:tcW w:w="2695" w:type="dxa"/>
            <w:shd w:val="clear" w:color="auto" w:fill="auto"/>
          </w:tcPr>
          <w:p w14:paraId="4F32E0BC" w14:textId="3249207F" w:rsidR="00660173" w:rsidRPr="00781112" w:rsidRDefault="00660173" w:rsidP="00660173">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DE46D54" w14:textId="09C11F4A" w:rsidR="00660173" w:rsidRPr="00781112" w:rsidRDefault="00660173" w:rsidP="00360DD6">
            <w:pPr>
              <w:jc w:val="center"/>
              <w:rPr>
                <w:b/>
                <w:color w:val="000000" w:themeColor="text1"/>
              </w:rPr>
            </w:pPr>
            <w:r w:rsidRPr="00781112">
              <w:rPr>
                <w:color w:val="000000" w:themeColor="text1"/>
              </w:rPr>
              <w:t>352</w:t>
            </w:r>
          </w:p>
        </w:tc>
        <w:tc>
          <w:tcPr>
            <w:tcW w:w="2700" w:type="dxa"/>
            <w:shd w:val="clear" w:color="auto" w:fill="auto"/>
            <w:vAlign w:val="center"/>
          </w:tcPr>
          <w:p w14:paraId="6F4311F8" w14:textId="57481F37" w:rsidR="00660173" w:rsidRPr="00781112" w:rsidRDefault="00660173" w:rsidP="00360DD6">
            <w:pPr>
              <w:jc w:val="center"/>
              <w:rPr>
                <w:b/>
                <w:color w:val="000000" w:themeColor="text1"/>
              </w:rPr>
            </w:pPr>
            <w:r w:rsidRPr="00781112">
              <w:rPr>
                <w:color w:val="000000" w:themeColor="text1"/>
              </w:rPr>
              <w:t>147</w:t>
            </w:r>
          </w:p>
        </w:tc>
        <w:tc>
          <w:tcPr>
            <w:tcW w:w="2700" w:type="dxa"/>
            <w:shd w:val="clear" w:color="auto" w:fill="auto"/>
            <w:vAlign w:val="center"/>
          </w:tcPr>
          <w:p w14:paraId="7B154B01" w14:textId="7C106CF5" w:rsidR="00660173" w:rsidRPr="00781112" w:rsidRDefault="00660173" w:rsidP="00360DD6">
            <w:pPr>
              <w:jc w:val="center"/>
              <w:rPr>
                <w:b/>
                <w:color w:val="000000" w:themeColor="text1"/>
              </w:rPr>
            </w:pPr>
            <w:r w:rsidRPr="00781112">
              <w:rPr>
                <w:color w:val="000000" w:themeColor="text1"/>
              </w:rPr>
              <w:t>240</w:t>
            </w:r>
          </w:p>
        </w:tc>
      </w:tr>
    </w:tbl>
    <w:p w14:paraId="56C37F05" w14:textId="77777777" w:rsidR="00241BD0" w:rsidRPr="00781112" w:rsidRDefault="00241BD0" w:rsidP="004369B2">
      <w:pPr>
        <w:rPr>
          <w:color w:val="000000" w:themeColor="text1"/>
        </w:rPr>
      </w:pPr>
    </w:p>
    <w:p w14:paraId="0E0A129D" w14:textId="6716B156" w:rsidR="00BD7229" w:rsidRPr="00781112" w:rsidRDefault="0047313F" w:rsidP="004369B2">
      <w:pPr>
        <w:rPr>
          <w:b/>
          <w:color w:val="000000" w:themeColor="text1"/>
        </w:rPr>
      </w:pPr>
      <w:r>
        <w:rPr>
          <w:b/>
          <w:color w:val="000000" w:themeColor="text1"/>
        </w:rPr>
        <w:t>FFY 2021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696"/>
        <w:gridCol w:w="1178"/>
        <w:gridCol w:w="1245"/>
        <w:gridCol w:w="1373"/>
        <w:gridCol w:w="1140"/>
        <w:gridCol w:w="1600"/>
        <w:gridCol w:w="1050"/>
        <w:gridCol w:w="1270"/>
        <w:gridCol w:w="1238"/>
      </w:tblGrid>
      <w:tr w:rsidR="00FA33C9" w:rsidRPr="00781112" w14:paraId="73241F59" w14:textId="77777777" w:rsidTr="00140972">
        <w:trPr>
          <w:tblHeader/>
        </w:trPr>
        <w:tc>
          <w:tcPr>
            <w:tcW w:w="221" w:type="pct"/>
            <w:shd w:val="clear" w:color="auto" w:fill="auto"/>
            <w:vAlign w:val="bottom"/>
          </w:tcPr>
          <w:p w14:paraId="3378C689" w14:textId="77777777" w:rsidR="00FA33C9" w:rsidRPr="00781112" w:rsidRDefault="00FA33C9" w:rsidP="00FA33C9">
            <w:pPr>
              <w:jc w:val="center"/>
              <w:rPr>
                <w:b/>
                <w:color w:val="000000" w:themeColor="text1"/>
              </w:rPr>
            </w:pPr>
            <w:r w:rsidRPr="00781112">
              <w:rPr>
                <w:b/>
                <w:color w:val="000000" w:themeColor="text1"/>
              </w:rPr>
              <w:t>Group</w:t>
            </w:r>
          </w:p>
        </w:tc>
        <w:tc>
          <w:tcPr>
            <w:tcW w:w="559" w:type="pct"/>
            <w:shd w:val="clear" w:color="auto" w:fill="auto"/>
            <w:vAlign w:val="bottom"/>
          </w:tcPr>
          <w:p w14:paraId="34B96D6C" w14:textId="2E1BB35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3B6543C5" w14:textId="7737694B"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9" w:type="pct"/>
            <w:shd w:val="clear" w:color="auto" w:fill="auto"/>
            <w:vAlign w:val="bottom"/>
          </w:tcPr>
          <w:p w14:paraId="36E5B9C7" w14:textId="23CF68D2"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2614DFA3" w14:textId="6C9E1E29" w:rsidR="00FA33C9" w:rsidRPr="00073BD7" w:rsidRDefault="00FA33C9" w:rsidP="00FA33C9">
            <w:pPr>
              <w:jc w:val="center"/>
              <w:rPr>
                <w:b/>
                <w:bCs/>
                <w:color w:val="000000" w:themeColor="text1"/>
              </w:rPr>
            </w:pPr>
            <w:r w:rsidRPr="00073BD7">
              <w:rPr>
                <w:b/>
                <w:bCs/>
              </w:rPr>
              <w:t>FFY 2020 Data</w:t>
            </w:r>
          </w:p>
        </w:tc>
        <w:tc>
          <w:tcPr>
            <w:tcW w:w="754" w:type="pct"/>
            <w:shd w:val="clear" w:color="auto" w:fill="auto"/>
            <w:vAlign w:val="bottom"/>
          </w:tcPr>
          <w:p w14:paraId="09D4299D" w14:textId="08F7F6A5" w:rsidR="00FA33C9" w:rsidRPr="00073BD7" w:rsidRDefault="00FA33C9" w:rsidP="00FA33C9">
            <w:pPr>
              <w:jc w:val="center"/>
              <w:rPr>
                <w:b/>
                <w:bCs/>
                <w:color w:val="000000" w:themeColor="text1"/>
              </w:rPr>
            </w:pPr>
            <w:r w:rsidRPr="00073BD7">
              <w:rPr>
                <w:b/>
                <w:bCs/>
              </w:rPr>
              <w:t>FFY 2021 Target</w:t>
            </w:r>
          </w:p>
        </w:tc>
        <w:tc>
          <w:tcPr>
            <w:tcW w:w="499" w:type="pct"/>
            <w:shd w:val="clear" w:color="auto" w:fill="auto"/>
            <w:vAlign w:val="bottom"/>
          </w:tcPr>
          <w:p w14:paraId="2B4D24C2" w14:textId="2BBDD336" w:rsidR="00FA33C9" w:rsidRPr="00073BD7" w:rsidRDefault="00FA33C9" w:rsidP="00FA33C9">
            <w:pPr>
              <w:jc w:val="center"/>
              <w:rPr>
                <w:b/>
                <w:bCs/>
                <w:color w:val="000000" w:themeColor="text1"/>
              </w:rPr>
            </w:pPr>
            <w:r w:rsidRPr="00073BD7">
              <w:rPr>
                <w:b/>
                <w:bCs/>
              </w:rPr>
              <w:t>FFY 2021 Data</w:t>
            </w:r>
          </w:p>
        </w:tc>
        <w:tc>
          <w:tcPr>
            <w:tcW w:w="601" w:type="pct"/>
            <w:shd w:val="clear" w:color="auto" w:fill="auto"/>
            <w:vAlign w:val="bottom"/>
          </w:tcPr>
          <w:p w14:paraId="4987ED35"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7EA3F612" w14:textId="77777777" w:rsidR="00FA33C9" w:rsidRPr="00781112" w:rsidRDefault="00FA33C9" w:rsidP="00FA33C9">
            <w:pPr>
              <w:jc w:val="center"/>
              <w:rPr>
                <w:b/>
                <w:color w:val="000000" w:themeColor="text1"/>
              </w:rPr>
            </w:pPr>
            <w:r w:rsidRPr="00781112">
              <w:rPr>
                <w:b/>
                <w:color w:val="000000" w:themeColor="text1"/>
              </w:rPr>
              <w:t>Slippage</w:t>
            </w:r>
          </w:p>
        </w:tc>
      </w:tr>
      <w:tr w:rsidR="00566725" w:rsidRPr="00781112" w14:paraId="318B8AAD" w14:textId="77777777" w:rsidTr="00140972">
        <w:tc>
          <w:tcPr>
            <w:tcW w:w="221" w:type="pct"/>
            <w:shd w:val="clear" w:color="auto" w:fill="auto"/>
            <w:vAlign w:val="center"/>
          </w:tcPr>
          <w:p w14:paraId="4BD3A1A0"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shd w:val="clear" w:color="auto" w:fill="auto"/>
          </w:tcPr>
          <w:p w14:paraId="2D59B69E" w14:textId="71850FD0"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tcPr>
          <w:p w14:paraId="10EC608D" w14:textId="576E5156" w:rsidR="00566725" w:rsidRPr="00781112" w:rsidRDefault="00566725" w:rsidP="00566725">
            <w:pPr>
              <w:jc w:val="center"/>
              <w:rPr>
                <w:rFonts w:cs="Arial"/>
                <w:color w:val="000000" w:themeColor="text1"/>
                <w:szCs w:val="16"/>
              </w:rPr>
            </w:pPr>
            <w:r w:rsidRPr="00781112">
              <w:rPr>
                <w:rFonts w:cs="Arial"/>
                <w:color w:val="000000" w:themeColor="text1"/>
                <w:szCs w:val="16"/>
              </w:rPr>
              <w:t>166</w:t>
            </w:r>
          </w:p>
        </w:tc>
        <w:tc>
          <w:tcPr>
            <w:tcW w:w="649" w:type="pct"/>
            <w:shd w:val="clear" w:color="auto" w:fill="auto"/>
          </w:tcPr>
          <w:p w14:paraId="5740CA80" w14:textId="7FBF02A9" w:rsidR="00566725" w:rsidRPr="00781112" w:rsidRDefault="00566725" w:rsidP="00566725">
            <w:pPr>
              <w:jc w:val="center"/>
              <w:rPr>
                <w:rFonts w:cs="Arial"/>
                <w:color w:val="000000" w:themeColor="text1"/>
                <w:szCs w:val="16"/>
              </w:rPr>
            </w:pPr>
            <w:r>
              <w:rPr>
                <w:rFonts w:cs="Arial"/>
                <w:color w:val="000000"/>
                <w:szCs w:val="16"/>
              </w:rPr>
              <w:t>741</w:t>
            </w:r>
          </w:p>
        </w:tc>
        <w:tc>
          <w:tcPr>
            <w:tcW w:w="541" w:type="pct"/>
            <w:shd w:val="clear" w:color="auto" w:fill="auto"/>
          </w:tcPr>
          <w:p w14:paraId="6BA58310" w14:textId="391F367C" w:rsidR="00566725" w:rsidRPr="00781112" w:rsidRDefault="00566725" w:rsidP="00566725">
            <w:pPr>
              <w:jc w:val="center"/>
              <w:rPr>
                <w:rFonts w:cs="Arial"/>
                <w:color w:val="000000" w:themeColor="text1"/>
                <w:szCs w:val="16"/>
              </w:rPr>
            </w:pPr>
            <w:r w:rsidRPr="00781112">
              <w:rPr>
                <w:rFonts w:cs="Arial"/>
                <w:color w:val="000000" w:themeColor="text1"/>
                <w:szCs w:val="16"/>
              </w:rPr>
              <w:t>27.04%</w:t>
            </w:r>
          </w:p>
        </w:tc>
        <w:tc>
          <w:tcPr>
            <w:tcW w:w="754" w:type="pct"/>
            <w:shd w:val="clear" w:color="auto" w:fill="auto"/>
          </w:tcPr>
          <w:p w14:paraId="47A1F29A" w14:textId="0E923F64" w:rsidR="00566725" w:rsidRPr="00781112" w:rsidRDefault="00566725" w:rsidP="00566725">
            <w:pPr>
              <w:jc w:val="center"/>
              <w:rPr>
                <w:rFonts w:cs="Arial"/>
                <w:color w:val="000000" w:themeColor="text1"/>
                <w:szCs w:val="16"/>
              </w:rPr>
            </w:pPr>
            <w:r w:rsidRPr="00781112">
              <w:rPr>
                <w:rFonts w:cs="Arial"/>
                <w:color w:val="000000" w:themeColor="text1"/>
                <w:szCs w:val="16"/>
              </w:rPr>
              <w:t>28.93%</w:t>
            </w:r>
          </w:p>
        </w:tc>
        <w:tc>
          <w:tcPr>
            <w:tcW w:w="499" w:type="pct"/>
            <w:shd w:val="clear" w:color="auto" w:fill="auto"/>
          </w:tcPr>
          <w:p w14:paraId="2AE4C61A" w14:textId="12BE6FDD" w:rsidR="00566725" w:rsidRPr="00781112" w:rsidRDefault="00566725" w:rsidP="00566725">
            <w:pPr>
              <w:jc w:val="center"/>
              <w:rPr>
                <w:rFonts w:cs="Arial"/>
                <w:color w:val="000000" w:themeColor="text1"/>
                <w:szCs w:val="16"/>
              </w:rPr>
            </w:pPr>
            <w:r w:rsidRPr="00781112">
              <w:rPr>
                <w:rFonts w:cs="Arial"/>
                <w:color w:val="000000" w:themeColor="text1"/>
                <w:szCs w:val="16"/>
              </w:rPr>
              <w:t>22.40%</w:t>
            </w:r>
          </w:p>
        </w:tc>
        <w:tc>
          <w:tcPr>
            <w:tcW w:w="601" w:type="pct"/>
            <w:shd w:val="clear" w:color="auto" w:fill="auto"/>
          </w:tcPr>
          <w:p w14:paraId="2590AA37" w14:textId="2B2E3DAE"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39DEC07F" w14:textId="70B28667"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r w:rsidR="00566725" w:rsidRPr="00781112" w14:paraId="52B173E5" w14:textId="77777777" w:rsidTr="00140972">
        <w:tc>
          <w:tcPr>
            <w:tcW w:w="221" w:type="pct"/>
            <w:shd w:val="clear" w:color="auto" w:fill="auto"/>
            <w:vAlign w:val="center"/>
          </w:tcPr>
          <w:p w14:paraId="5153CDB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shd w:val="clear" w:color="auto" w:fill="auto"/>
          </w:tcPr>
          <w:p w14:paraId="137CEDF6" w14:textId="15D625F4"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tcPr>
          <w:p w14:paraId="1707A82B" w14:textId="3E333A0B" w:rsidR="00566725" w:rsidRPr="00781112" w:rsidRDefault="00566725" w:rsidP="00566725">
            <w:pPr>
              <w:jc w:val="center"/>
              <w:rPr>
                <w:rFonts w:cs="Arial"/>
                <w:color w:val="000000" w:themeColor="text1"/>
                <w:szCs w:val="16"/>
              </w:rPr>
            </w:pPr>
            <w:r w:rsidRPr="00781112">
              <w:rPr>
                <w:rFonts w:cs="Arial"/>
                <w:color w:val="000000" w:themeColor="text1"/>
                <w:szCs w:val="16"/>
              </w:rPr>
              <w:t>242</w:t>
            </w:r>
          </w:p>
        </w:tc>
        <w:tc>
          <w:tcPr>
            <w:tcW w:w="649" w:type="pct"/>
            <w:shd w:val="clear" w:color="auto" w:fill="auto"/>
          </w:tcPr>
          <w:p w14:paraId="1BCB466D" w14:textId="5DD60E0B" w:rsidR="00566725" w:rsidRPr="00781112" w:rsidRDefault="00566725" w:rsidP="00566725">
            <w:pPr>
              <w:jc w:val="center"/>
              <w:rPr>
                <w:rFonts w:cs="Arial"/>
                <w:color w:val="000000" w:themeColor="text1"/>
                <w:szCs w:val="16"/>
              </w:rPr>
            </w:pPr>
            <w:r>
              <w:rPr>
                <w:rFonts w:cs="Arial"/>
                <w:color w:val="000000"/>
                <w:szCs w:val="16"/>
              </w:rPr>
              <w:t>741</w:t>
            </w:r>
          </w:p>
        </w:tc>
        <w:tc>
          <w:tcPr>
            <w:tcW w:w="541" w:type="pct"/>
            <w:shd w:val="clear" w:color="auto" w:fill="auto"/>
          </w:tcPr>
          <w:p w14:paraId="60597E0A" w14:textId="4D673C7B" w:rsidR="00566725" w:rsidRPr="00781112" w:rsidRDefault="00566725" w:rsidP="00566725">
            <w:pPr>
              <w:jc w:val="center"/>
              <w:rPr>
                <w:rFonts w:cs="Arial"/>
                <w:color w:val="000000" w:themeColor="text1"/>
                <w:szCs w:val="16"/>
              </w:rPr>
            </w:pPr>
            <w:r w:rsidRPr="00781112">
              <w:rPr>
                <w:rFonts w:cs="Arial"/>
                <w:color w:val="000000" w:themeColor="text1"/>
                <w:szCs w:val="16"/>
              </w:rPr>
              <w:t>30.40%</w:t>
            </w:r>
          </w:p>
        </w:tc>
        <w:tc>
          <w:tcPr>
            <w:tcW w:w="754" w:type="pct"/>
            <w:shd w:val="clear" w:color="auto" w:fill="auto"/>
          </w:tcPr>
          <w:p w14:paraId="6445398C" w14:textId="393A6DFD" w:rsidR="00566725" w:rsidRPr="00781112" w:rsidRDefault="00566725" w:rsidP="00566725">
            <w:pPr>
              <w:jc w:val="center"/>
              <w:rPr>
                <w:rFonts w:cs="Arial"/>
                <w:color w:val="000000" w:themeColor="text1"/>
                <w:szCs w:val="16"/>
              </w:rPr>
            </w:pPr>
            <w:r w:rsidRPr="00781112">
              <w:rPr>
                <w:rFonts w:cs="Arial"/>
                <w:color w:val="000000" w:themeColor="text1"/>
                <w:szCs w:val="16"/>
              </w:rPr>
              <w:t>32.53%</w:t>
            </w:r>
          </w:p>
        </w:tc>
        <w:tc>
          <w:tcPr>
            <w:tcW w:w="499" w:type="pct"/>
            <w:shd w:val="clear" w:color="auto" w:fill="auto"/>
          </w:tcPr>
          <w:p w14:paraId="4EBD899F" w14:textId="57918237" w:rsidR="00566725" w:rsidRPr="00781112" w:rsidRDefault="00566725" w:rsidP="00566725">
            <w:pPr>
              <w:jc w:val="center"/>
              <w:rPr>
                <w:rFonts w:cs="Arial"/>
                <w:color w:val="000000" w:themeColor="text1"/>
                <w:szCs w:val="16"/>
              </w:rPr>
            </w:pPr>
            <w:r w:rsidRPr="00781112">
              <w:rPr>
                <w:rFonts w:cs="Arial"/>
                <w:color w:val="000000" w:themeColor="text1"/>
                <w:szCs w:val="16"/>
              </w:rPr>
              <w:t>32.66%</w:t>
            </w:r>
          </w:p>
        </w:tc>
        <w:tc>
          <w:tcPr>
            <w:tcW w:w="601" w:type="pct"/>
            <w:shd w:val="clear" w:color="auto" w:fill="auto"/>
          </w:tcPr>
          <w:p w14:paraId="585589D4" w14:textId="6C3ED8A0" w:rsidR="00566725" w:rsidRPr="00781112" w:rsidRDefault="00566725" w:rsidP="00566725">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tcPr>
          <w:p w14:paraId="64956786" w14:textId="4047CECE"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r w:rsidR="00566725" w:rsidRPr="00781112" w14:paraId="3EA2EA1E" w14:textId="77777777" w:rsidTr="00140972">
        <w:tc>
          <w:tcPr>
            <w:tcW w:w="221" w:type="pct"/>
            <w:shd w:val="clear" w:color="auto" w:fill="auto"/>
            <w:vAlign w:val="center"/>
          </w:tcPr>
          <w:p w14:paraId="7CB7E77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shd w:val="clear" w:color="auto" w:fill="auto"/>
          </w:tcPr>
          <w:p w14:paraId="260DAFBC" w14:textId="292387CD"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tcPr>
          <w:p w14:paraId="3637A0D0" w14:textId="4E467DC1" w:rsidR="00566725" w:rsidRPr="00781112" w:rsidRDefault="00566725" w:rsidP="00566725">
            <w:pPr>
              <w:jc w:val="center"/>
              <w:rPr>
                <w:rFonts w:cs="Arial"/>
                <w:color w:val="000000" w:themeColor="text1"/>
                <w:szCs w:val="16"/>
              </w:rPr>
            </w:pPr>
            <w:r w:rsidRPr="00781112">
              <w:rPr>
                <w:rFonts w:cs="Arial"/>
                <w:color w:val="000000" w:themeColor="text1"/>
                <w:szCs w:val="16"/>
              </w:rPr>
              <w:t>255</w:t>
            </w:r>
          </w:p>
        </w:tc>
        <w:tc>
          <w:tcPr>
            <w:tcW w:w="649" w:type="pct"/>
            <w:shd w:val="clear" w:color="auto" w:fill="auto"/>
          </w:tcPr>
          <w:p w14:paraId="0F212AA6" w14:textId="77E5B78D" w:rsidR="00566725" w:rsidRPr="00781112" w:rsidRDefault="00566725" w:rsidP="00566725">
            <w:pPr>
              <w:jc w:val="center"/>
              <w:rPr>
                <w:rFonts w:cs="Arial"/>
                <w:color w:val="000000" w:themeColor="text1"/>
                <w:szCs w:val="16"/>
              </w:rPr>
            </w:pPr>
            <w:r>
              <w:rPr>
                <w:rFonts w:cs="Arial"/>
                <w:color w:val="000000"/>
                <w:szCs w:val="16"/>
              </w:rPr>
              <w:t>659</w:t>
            </w:r>
          </w:p>
        </w:tc>
        <w:tc>
          <w:tcPr>
            <w:tcW w:w="541" w:type="pct"/>
            <w:shd w:val="clear" w:color="auto" w:fill="auto"/>
          </w:tcPr>
          <w:p w14:paraId="066DE90A" w14:textId="5EE6838D" w:rsidR="00566725" w:rsidRPr="00781112" w:rsidRDefault="00566725" w:rsidP="00566725">
            <w:pPr>
              <w:jc w:val="center"/>
              <w:rPr>
                <w:rFonts w:cs="Arial"/>
                <w:color w:val="000000" w:themeColor="text1"/>
                <w:szCs w:val="16"/>
              </w:rPr>
            </w:pPr>
            <w:r w:rsidRPr="00781112">
              <w:rPr>
                <w:rFonts w:cs="Arial"/>
                <w:color w:val="000000" w:themeColor="text1"/>
                <w:szCs w:val="16"/>
              </w:rPr>
              <w:t>38.70%</w:t>
            </w:r>
          </w:p>
        </w:tc>
        <w:tc>
          <w:tcPr>
            <w:tcW w:w="754" w:type="pct"/>
            <w:shd w:val="clear" w:color="auto" w:fill="auto"/>
          </w:tcPr>
          <w:p w14:paraId="4191EA17" w14:textId="17F82057" w:rsidR="00566725" w:rsidRPr="00781112" w:rsidRDefault="00566725" w:rsidP="00566725">
            <w:pPr>
              <w:jc w:val="center"/>
              <w:rPr>
                <w:rFonts w:cs="Arial"/>
                <w:color w:val="000000" w:themeColor="text1"/>
                <w:szCs w:val="16"/>
              </w:rPr>
            </w:pPr>
            <w:r w:rsidRPr="00781112">
              <w:rPr>
                <w:rFonts w:cs="Arial"/>
                <w:color w:val="000000" w:themeColor="text1"/>
                <w:szCs w:val="16"/>
              </w:rPr>
              <w:t>41.41%</w:t>
            </w:r>
          </w:p>
        </w:tc>
        <w:tc>
          <w:tcPr>
            <w:tcW w:w="499" w:type="pct"/>
            <w:shd w:val="clear" w:color="auto" w:fill="auto"/>
          </w:tcPr>
          <w:p w14:paraId="15CE5CCF" w14:textId="00F68E62" w:rsidR="00566725" w:rsidRPr="00781112" w:rsidRDefault="00566725" w:rsidP="00566725">
            <w:pPr>
              <w:jc w:val="center"/>
              <w:rPr>
                <w:rFonts w:cs="Arial"/>
                <w:color w:val="000000" w:themeColor="text1"/>
                <w:szCs w:val="16"/>
              </w:rPr>
            </w:pPr>
            <w:r w:rsidRPr="00781112">
              <w:rPr>
                <w:rFonts w:cs="Arial"/>
                <w:color w:val="000000" w:themeColor="text1"/>
                <w:szCs w:val="16"/>
              </w:rPr>
              <w:t>38.69%</w:t>
            </w:r>
          </w:p>
        </w:tc>
        <w:tc>
          <w:tcPr>
            <w:tcW w:w="601" w:type="pct"/>
            <w:shd w:val="clear" w:color="auto" w:fill="auto"/>
          </w:tcPr>
          <w:p w14:paraId="28CB2C9E" w14:textId="4F0EF91A"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157B84D0" w14:textId="0B58E631"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bl>
    <w:p w14:paraId="59662641" w14:textId="77777777" w:rsidR="00445640" w:rsidRPr="00781112" w:rsidRDefault="00445640" w:rsidP="00445640">
      <w:pPr>
        <w:rPr>
          <w:b/>
          <w:color w:val="000000" w:themeColor="text1"/>
        </w:rPr>
      </w:pPr>
      <w:r w:rsidRPr="00781112">
        <w:rPr>
          <w:b/>
          <w:color w:val="000000" w:themeColor="text1"/>
        </w:rPr>
        <w:t>Provide reasons for slippage for Group A, if applicable</w:t>
      </w:r>
    </w:p>
    <w:p w14:paraId="3ED6788F" w14:textId="77777777" w:rsidR="00445640" w:rsidRPr="00781112" w:rsidRDefault="00445640" w:rsidP="00445640">
      <w:pPr>
        <w:rPr>
          <w:rFonts w:cs="Arial"/>
          <w:color w:val="000000" w:themeColor="text1"/>
          <w:szCs w:val="16"/>
        </w:rPr>
      </w:pPr>
      <w:r w:rsidRPr="00781112">
        <w:rPr>
          <w:rFonts w:cs="Arial"/>
          <w:color w:val="000000" w:themeColor="text1"/>
          <w:szCs w:val="16"/>
        </w:rPr>
        <w:t>The state does not have a verified explanation for slippage in the proficiency rate of 4th grade students with disabilities taking the reading alternate assessment. We suspect one major factor is affecting proficiency: in response to improved guidance and regulation regarding which students are eligible for the alternate assessment in Oklahoma (the OAAP), LEAs have reduced the number of students taking the OAAP to align with the 1% requirement. This may have decreased the proficiency rate because fewer students are inappropriately participating each year.</w:t>
      </w:r>
    </w:p>
    <w:p w14:paraId="493A373E" w14:textId="77777777" w:rsidR="00445640" w:rsidRPr="00781112" w:rsidRDefault="00445640" w:rsidP="000C3A20">
      <w:pPr>
        <w:rPr>
          <w:color w:val="000000" w:themeColor="text1"/>
        </w:rPr>
      </w:pPr>
    </w:p>
    <w:p w14:paraId="73E73F7F" w14:textId="2C5C8C18" w:rsidR="00BD7229" w:rsidRPr="00781112" w:rsidRDefault="0047313F" w:rsidP="004369B2">
      <w:pPr>
        <w:rPr>
          <w:b/>
          <w:color w:val="000000" w:themeColor="text1"/>
        </w:rPr>
      </w:pPr>
      <w:r>
        <w:rPr>
          <w:b/>
          <w:color w:val="000000" w:themeColor="text1"/>
        </w:rPr>
        <w:t>FFY 2021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696"/>
        <w:gridCol w:w="1187"/>
        <w:gridCol w:w="1245"/>
        <w:gridCol w:w="1370"/>
        <w:gridCol w:w="1139"/>
        <w:gridCol w:w="1595"/>
        <w:gridCol w:w="1050"/>
        <w:gridCol w:w="1270"/>
        <w:gridCol w:w="1238"/>
      </w:tblGrid>
      <w:tr w:rsidR="00FA33C9" w:rsidRPr="00781112" w14:paraId="2361B602" w14:textId="77777777" w:rsidTr="00140972">
        <w:trPr>
          <w:tblHeader/>
        </w:trPr>
        <w:tc>
          <w:tcPr>
            <w:tcW w:w="220" w:type="pct"/>
            <w:shd w:val="clear" w:color="auto" w:fill="auto"/>
            <w:vAlign w:val="bottom"/>
          </w:tcPr>
          <w:p w14:paraId="097BD4DD" w14:textId="77777777" w:rsidR="00FA33C9" w:rsidRPr="00781112" w:rsidRDefault="00FA33C9" w:rsidP="00FA33C9">
            <w:pPr>
              <w:jc w:val="center"/>
              <w:rPr>
                <w:b/>
                <w:color w:val="000000" w:themeColor="text1"/>
              </w:rPr>
            </w:pPr>
            <w:r w:rsidRPr="00781112">
              <w:rPr>
                <w:b/>
                <w:color w:val="000000" w:themeColor="text1"/>
              </w:rPr>
              <w:lastRenderedPageBreak/>
              <w:t>Group</w:t>
            </w:r>
          </w:p>
        </w:tc>
        <w:tc>
          <w:tcPr>
            <w:tcW w:w="563" w:type="pct"/>
            <w:shd w:val="clear" w:color="auto" w:fill="auto"/>
            <w:vAlign w:val="bottom"/>
          </w:tcPr>
          <w:p w14:paraId="221D62AE" w14:textId="46B1DC1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6EA1E126" w14:textId="66F4FC74"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8" w:type="pct"/>
            <w:shd w:val="clear" w:color="auto" w:fill="auto"/>
            <w:vAlign w:val="bottom"/>
          </w:tcPr>
          <w:p w14:paraId="534757DA" w14:textId="5F85E8DF"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73023982" w14:textId="75774783" w:rsidR="00FA33C9" w:rsidRPr="00073BD7" w:rsidRDefault="00FA33C9" w:rsidP="00FA33C9">
            <w:pPr>
              <w:jc w:val="center"/>
              <w:rPr>
                <w:b/>
                <w:bCs/>
                <w:color w:val="000000" w:themeColor="text1"/>
              </w:rPr>
            </w:pPr>
            <w:r w:rsidRPr="00073BD7">
              <w:rPr>
                <w:b/>
                <w:bCs/>
              </w:rPr>
              <w:t>FFY 2020 Data</w:t>
            </w:r>
          </w:p>
        </w:tc>
        <w:tc>
          <w:tcPr>
            <w:tcW w:w="752" w:type="pct"/>
            <w:shd w:val="clear" w:color="auto" w:fill="auto"/>
            <w:vAlign w:val="bottom"/>
          </w:tcPr>
          <w:p w14:paraId="37651EF9" w14:textId="7BFF61C6" w:rsidR="00FA33C9" w:rsidRPr="00073BD7" w:rsidRDefault="00FA33C9" w:rsidP="00FA33C9">
            <w:pPr>
              <w:jc w:val="center"/>
              <w:rPr>
                <w:b/>
                <w:bCs/>
                <w:color w:val="000000" w:themeColor="text1"/>
              </w:rPr>
            </w:pPr>
            <w:r w:rsidRPr="00073BD7">
              <w:rPr>
                <w:b/>
                <w:bCs/>
              </w:rPr>
              <w:t>FFY 2021 Target</w:t>
            </w:r>
          </w:p>
        </w:tc>
        <w:tc>
          <w:tcPr>
            <w:tcW w:w="499" w:type="pct"/>
            <w:shd w:val="clear" w:color="auto" w:fill="auto"/>
            <w:vAlign w:val="bottom"/>
          </w:tcPr>
          <w:p w14:paraId="3D61FBEB" w14:textId="0F56EC6F" w:rsidR="00FA33C9" w:rsidRPr="00073BD7" w:rsidRDefault="00FA33C9" w:rsidP="00FA33C9">
            <w:pPr>
              <w:jc w:val="center"/>
              <w:rPr>
                <w:b/>
                <w:bCs/>
                <w:color w:val="000000" w:themeColor="text1"/>
              </w:rPr>
            </w:pPr>
            <w:r w:rsidRPr="00073BD7">
              <w:rPr>
                <w:b/>
                <w:bCs/>
              </w:rPr>
              <w:t>FFY 2021 Data</w:t>
            </w:r>
          </w:p>
        </w:tc>
        <w:tc>
          <w:tcPr>
            <w:tcW w:w="601" w:type="pct"/>
            <w:shd w:val="clear" w:color="auto" w:fill="auto"/>
            <w:vAlign w:val="bottom"/>
          </w:tcPr>
          <w:p w14:paraId="730A2874"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67BEF249" w14:textId="77777777" w:rsidR="00FA33C9" w:rsidRPr="00781112" w:rsidRDefault="00FA33C9" w:rsidP="00FA33C9">
            <w:pPr>
              <w:jc w:val="center"/>
              <w:rPr>
                <w:b/>
                <w:color w:val="000000" w:themeColor="text1"/>
              </w:rPr>
            </w:pPr>
            <w:r w:rsidRPr="00781112">
              <w:rPr>
                <w:b/>
                <w:color w:val="000000" w:themeColor="text1"/>
              </w:rPr>
              <w:t>Slippage</w:t>
            </w:r>
          </w:p>
        </w:tc>
      </w:tr>
      <w:tr w:rsidR="00A31E8A" w:rsidRPr="00781112" w14:paraId="08D65837" w14:textId="77777777" w:rsidTr="00140972">
        <w:tc>
          <w:tcPr>
            <w:tcW w:w="220" w:type="pct"/>
            <w:shd w:val="clear" w:color="auto" w:fill="auto"/>
            <w:vAlign w:val="center"/>
          </w:tcPr>
          <w:p w14:paraId="76903C3F"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shd w:val="clear" w:color="auto" w:fill="auto"/>
            <w:vAlign w:val="center"/>
          </w:tcPr>
          <w:p w14:paraId="02026CDE" w14:textId="2E1566AE"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vAlign w:val="center"/>
          </w:tcPr>
          <w:p w14:paraId="16642EB5" w14:textId="2F43A115" w:rsidR="00A31E8A" w:rsidRPr="00781112" w:rsidRDefault="00A31E8A" w:rsidP="00A31E8A">
            <w:pPr>
              <w:jc w:val="center"/>
              <w:rPr>
                <w:rFonts w:cs="Arial"/>
                <w:color w:val="000000" w:themeColor="text1"/>
                <w:szCs w:val="16"/>
              </w:rPr>
            </w:pPr>
            <w:r w:rsidRPr="00781112">
              <w:rPr>
                <w:rFonts w:cs="Arial"/>
                <w:color w:val="000000" w:themeColor="text1"/>
                <w:szCs w:val="16"/>
              </w:rPr>
              <w:t>352</w:t>
            </w:r>
          </w:p>
        </w:tc>
        <w:tc>
          <w:tcPr>
            <w:tcW w:w="648" w:type="pct"/>
            <w:shd w:val="clear" w:color="auto" w:fill="auto"/>
          </w:tcPr>
          <w:p w14:paraId="1C6085EF" w14:textId="508775F3" w:rsidR="00A31E8A" w:rsidRPr="00781112" w:rsidRDefault="00A31E8A" w:rsidP="00A31E8A">
            <w:pPr>
              <w:jc w:val="center"/>
              <w:rPr>
                <w:rFonts w:cs="Arial"/>
                <w:color w:val="000000" w:themeColor="text1"/>
                <w:szCs w:val="16"/>
              </w:rPr>
            </w:pPr>
            <w:r>
              <w:rPr>
                <w:rFonts w:cs="Arial"/>
                <w:color w:val="000000"/>
                <w:szCs w:val="16"/>
              </w:rPr>
              <w:t>741</w:t>
            </w:r>
          </w:p>
        </w:tc>
        <w:tc>
          <w:tcPr>
            <w:tcW w:w="541" w:type="pct"/>
            <w:shd w:val="clear" w:color="auto" w:fill="auto"/>
            <w:vAlign w:val="center"/>
          </w:tcPr>
          <w:p w14:paraId="3DFEF3CC" w14:textId="273D8D28" w:rsidR="00A31E8A" w:rsidRPr="00781112" w:rsidRDefault="00A31E8A" w:rsidP="00A31E8A">
            <w:pPr>
              <w:jc w:val="center"/>
              <w:rPr>
                <w:rFonts w:cs="Arial"/>
                <w:color w:val="000000" w:themeColor="text1"/>
                <w:szCs w:val="16"/>
              </w:rPr>
            </w:pPr>
            <w:r w:rsidRPr="00781112">
              <w:rPr>
                <w:rFonts w:cs="Arial"/>
                <w:color w:val="000000" w:themeColor="text1"/>
                <w:szCs w:val="16"/>
              </w:rPr>
              <w:t>53.62%</w:t>
            </w:r>
          </w:p>
        </w:tc>
        <w:tc>
          <w:tcPr>
            <w:tcW w:w="752" w:type="pct"/>
            <w:shd w:val="clear" w:color="auto" w:fill="auto"/>
            <w:vAlign w:val="center"/>
          </w:tcPr>
          <w:p w14:paraId="78DBA801" w14:textId="0BA3B321" w:rsidR="00A31E8A" w:rsidRPr="00781112" w:rsidRDefault="00A31E8A" w:rsidP="00A31E8A">
            <w:pPr>
              <w:jc w:val="center"/>
              <w:rPr>
                <w:rFonts w:cs="Arial"/>
                <w:color w:val="000000" w:themeColor="text1"/>
                <w:szCs w:val="16"/>
              </w:rPr>
            </w:pPr>
            <w:r w:rsidRPr="00781112">
              <w:rPr>
                <w:rFonts w:cs="Arial"/>
                <w:color w:val="000000" w:themeColor="text1"/>
                <w:szCs w:val="16"/>
              </w:rPr>
              <w:t>57.37%</w:t>
            </w:r>
          </w:p>
        </w:tc>
        <w:tc>
          <w:tcPr>
            <w:tcW w:w="499" w:type="pct"/>
            <w:shd w:val="clear" w:color="auto" w:fill="auto"/>
            <w:vAlign w:val="center"/>
          </w:tcPr>
          <w:p w14:paraId="1DC938D5" w14:textId="450CB901" w:rsidR="00A31E8A" w:rsidRPr="00781112" w:rsidRDefault="00A31E8A" w:rsidP="00A31E8A">
            <w:pPr>
              <w:jc w:val="center"/>
              <w:rPr>
                <w:rFonts w:cs="Arial"/>
                <w:color w:val="000000" w:themeColor="text1"/>
                <w:szCs w:val="16"/>
              </w:rPr>
            </w:pPr>
            <w:r w:rsidRPr="00781112">
              <w:rPr>
                <w:rFonts w:cs="Arial"/>
                <w:color w:val="000000" w:themeColor="text1"/>
                <w:szCs w:val="16"/>
              </w:rPr>
              <w:t>47.50%</w:t>
            </w:r>
          </w:p>
        </w:tc>
        <w:tc>
          <w:tcPr>
            <w:tcW w:w="601" w:type="pct"/>
            <w:shd w:val="clear" w:color="auto" w:fill="auto"/>
            <w:vAlign w:val="center"/>
          </w:tcPr>
          <w:p w14:paraId="4B9610A1" w14:textId="71C9791E"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14:paraId="5708D4BE" w14:textId="328B6097" w:rsidR="00A31E8A" w:rsidRPr="00781112" w:rsidRDefault="00A31E8A" w:rsidP="00A31E8A">
            <w:pPr>
              <w:jc w:val="center"/>
              <w:rPr>
                <w:rFonts w:cs="Arial"/>
                <w:color w:val="000000" w:themeColor="text1"/>
                <w:szCs w:val="16"/>
              </w:rPr>
            </w:pPr>
            <w:r w:rsidRPr="00781112">
              <w:rPr>
                <w:rFonts w:cs="Arial"/>
                <w:color w:val="000000" w:themeColor="text1"/>
                <w:szCs w:val="16"/>
              </w:rPr>
              <w:t>Slippage</w:t>
            </w:r>
          </w:p>
        </w:tc>
      </w:tr>
      <w:tr w:rsidR="00A31E8A" w:rsidRPr="00781112" w14:paraId="5E0D5724" w14:textId="77777777" w:rsidTr="00140972">
        <w:tc>
          <w:tcPr>
            <w:tcW w:w="220" w:type="pct"/>
            <w:shd w:val="clear" w:color="auto" w:fill="auto"/>
            <w:vAlign w:val="center"/>
          </w:tcPr>
          <w:p w14:paraId="2202EBA2"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shd w:val="clear" w:color="auto" w:fill="auto"/>
            <w:vAlign w:val="center"/>
          </w:tcPr>
          <w:p w14:paraId="2BE28CC3" w14:textId="5462148F"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vAlign w:val="center"/>
          </w:tcPr>
          <w:p w14:paraId="65165B6C" w14:textId="77C4C484" w:rsidR="00A31E8A" w:rsidRPr="00781112" w:rsidRDefault="00A31E8A" w:rsidP="00A31E8A">
            <w:pPr>
              <w:jc w:val="center"/>
              <w:rPr>
                <w:rFonts w:cs="Arial"/>
                <w:color w:val="000000" w:themeColor="text1"/>
                <w:szCs w:val="16"/>
              </w:rPr>
            </w:pPr>
            <w:r w:rsidRPr="00781112">
              <w:rPr>
                <w:rFonts w:cs="Arial"/>
                <w:color w:val="000000" w:themeColor="text1"/>
                <w:szCs w:val="16"/>
              </w:rPr>
              <w:t>147</w:t>
            </w:r>
          </w:p>
        </w:tc>
        <w:tc>
          <w:tcPr>
            <w:tcW w:w="648" w:type="pct"/>
            <w:shd w:val="clear" w:color="auto" w:fill="auto"/>
          </w:tcPr>
          <w:p w14:paraId="25BE3991" w14:textId="52B3E29B" w:rsidR="00A31E8A" w:rsidRPr="00781112" w:rsidRDefault="00A31E8A" w:rsidP="00A31E8A">
            <w:pPr>
              <w:jc w:val="center"/>
              <w:rPr>
                <w:rFonts w:cs="Arial"/>
                <w:color w:val="000000" w:themeColor="text1"/>
                <w:szCs w:val="16"/>
              </w:rPr>
            </w:pPr>
            <w:r>
              <w:rPr>
                <w:rFonts w:cs="Arial"/>
                <w:color w:val="000000"/>
                <w:szCs w:val="16"/>
              </w:rPr>
              <w:t>742</w:t>
            </w:r>
          </w:p>
        </w:tc>
        <w:tc>
          <w:tcPr>
            <w:tcW w:w="541" w:type="pct"/>
            <w:shd w:val="clear" w:color="auto" w:fill="auto"/>
            <w:vAlign w:val="center"/>
          </w:tcPr>
          <w:p w14:paraId="0DB348C5" w14:textId="2F8A4588" w:rsidR="00A31E8A" w:rsidRPr="00781112" w:rsidRDefault="00A31E8A" w:rsidP="00A31E8A">
            <w:pPr>
              <w:jc w:val="center"/>
              <w:rPr>
                <w:rFonts w:cs="Arial"/>
                <w:color w:val="000000" w:themeColor="text1"/>
                <w:szCs w:val="16"/>
              </w:rPr>
            </w:pPr>
            <w:r w:rsidRPr="00781112">
              <w:rPr>
                <w:rFonts w:cs="Arial"/>
                <w:color w:val="000000" w:themeColor="text1"/>
                <w:szCs w:val="16"/>
              </w:rPr>
              <w:t>14.51%</w:t>
            </w:r>
          </w:p>
        </w:tc>
        <w:tc>
          <w:tcPr>
            <w:tcW w:w="752" w:type="pct"/>
            <w:shd w:val="clear" w:color="auto" w:fill="auto"/>
            <w:vAlign w:val="center"/>
          </w:tcPr>
          <w:p w14:paraId="31FB5FEB" w14:textId="4BF20A90" w:rsidR="00A31E8A" w:rsidRPr="00781112" w:rsidRDefault="00A31E8A" w:rsidP="00A31E8A">
            <w:pPr>
              <w:jc w:val="center"/>
              <w:rPr>
                <w:rFonts w:cs="Arial"/>
                <w:color w:val="000000" w:themeColor="text1"/>
                <w:szCs w:val="16"/>
              </w:rPr>
            </w:pPr>
            <w:r w:rsidRPr="00781112">
              <w:rPr>
                <w:rFonts w:cs="Arial"/>
                <w:color w:val="000000" w:themeColor="text1"/>
                <w:szCs w:val="16"/>
              </w:rPr>
              <w:t>15.53%</w:t>
            </w:r>
          </w:p>
        </w:tc>
        <w:tc>
          <w:tcPr>
            <w:tcW w:w="499" w:type="pct"/>
            <w:shd w:val="clear" w:color="auto" w:fill="auto"/>
            <w:vAlign w:val="center"/>
          </w:tcPr>
          <w:p w14:paraId="139B969C" w14:textId="619F4507" w:rsidR="00A31E8A" w:rsidRPr="00781112" w:rsidRDefault="00A31E8A" w:rsidP="00A31E8A">
            <w:pPr>
              <w:jc w:val="center"/>
              <w:rPr>
                <w:rFonts w:cs="Arial"/>
                <w:color w:val="000000" w:themeColor="text1"/>
                <w:szCs w:val="16"/>
              </w:rPr>
            </w:pPr>
            <w:r w:rsidRPr="00781112">
              <w:rPr>
                <w:rFonts w:cs="Arial"/>
                <w:color w:val="000000" w:themeColor="text1"/>
                <w:szCs w:val="16"/>
              </w:rPr>
              <w:t>19.81%</w:t>
            </w:r>
          </w:p>
        </w:tc>
        <w:tc>
          <w:tcPr>
            <w:tcW w:w="601" w:type="pct"/>
            <w:shd w:val="clear" w:color="auto" w:fill="auto"/>
            <w:vAlign w:val="center"/>
          </w:tcPr>
          <w:p w14:paraId="52EDA926" w14:textId="7B797DBA"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14:paraId="027F05C7" w14:textId="42C60C06"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r w:rsidR="00A31E8A" w:rsidRPr="00781112" w14:paraId="6F15E001" w14:textId="77777777" w:rsidTr="00140972">
        <w:tc>
          <w:tcPr>
            <w:tcW w:w="220" w:type="pct"/>
            <w:shd w:val="clear" w:color="auto" w:fill="auto"/>
            <w:vAlign w:val="center"/>
          </w:tcPr>
          <w:p w14:paraId="40D4F498"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shd w:val="clear" w:color="auto" w:fill="auto"/>
            <w:vAlign w:val="center"/>
          </w:tcPr>
          <w:p w14:paraId="200262C5" w14:textId="22AC7908"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vAlign w:val="center"/>
          </w:tcPr>
          <w:p w14:paraId="44B84702" w14:textId="5A092874" w:rsidR="00A31E8A" w:rsidRPr="00781112" w:rsidRDefault="00A31E8A" w:rsidP="00A31E8A">
            <w:pPr>
              <w:jc w:val="center"/>
              <w:rPr>
                <w:rFonts w:cs="Arial"/>
                <w:color w:val="000000" w:themeColor="text1"/>
                <w:szCs w:val="16"/>
              </w:rPr>
            </w:pPr>
            <w:r w:rsidRPr="00781112">
              <w:rPr>
                <w:rFonts w:cs="Arial"/>
                <w:color w:val="000000" w:themeColor="text1"/>
                <w:szCs w:val="16"/>
              </w:rPr>
              <w:t>240</w:t>
            </w:r>
          </w:p>
        </w:tc>
        <w:tc>
          <w:tcPr>
            <w:tcW w:w="648" w:type="pct"/>
            <w:shd w:val="clear" w:color="auto" w:fill="auto"/>
          </w:tcPr>
          <w:p w14:paraId="6C88DEC2" w14:textId="2C61C34F" w:rsidR="00A31E8A" w:rsidRPr="00781112" w:rsidRDefault="00A31E8A" w:rsidP="00A31E8A">
            <w:pPr>
              <w:jc w:val="center"/>
              <w:rPr>
                <w:rFonts w:cs="Arial"/>
                <w:color w:val="000000" w:themeColor="text1"/>
                <w:szCs w:val="16"/>
              </w:rPr>
            </w:pPr>
            <w:r>
              <w:rPr>
                <w:rFonts w:cs="Arial"/>
                <w:color w:val="000000"/>
                <w:szCs w:val="16"/>
              </w:rPr>
              <w:t>657</w:t>
            </w:r>
          </w:p>
        </w:tc>
        <w:tc>
          <w:tcPr>
            <w:tcW w:w="541" w:type="pct"/>
            <w:shd w:val="clear" w:color="auto" w:fill="auto"/>
            <w:vAlign w:val="center"/>
          </w:tcPr>
          <w:p w14:paraId="59D699CF" w14:textId="460A79FA" w:rsidR="00A31E8A" w:rsidRPr="00781112" w:rsidRDefault="00A31E8A" w:rsidP="00A31E8A">
            <w:pPr>
              <w:jc w:val="center"/>
              <w:rPr>
                <w:rFonts w:cs="Arial"/>
                <w:color w:val="000000" w:themeColor="text1"/>
                <w:szCs w:val="16"/>
              </w:rPr>
            </w:pPr>
            <w:r w:rsidRPr="00781112">
              <w:rPr>
                <w:rFonts w:cs="Arial"/>
                <w:color w:val="000000" w:themeColor="text1"/>
                <w:szCs w:val="16"/>
              </w:rPr>
              <w:t>45.70%</w:t>
            </w:r>
          </w:p>
        </w:tc>
        <w:tc>
          <w:tcPr>
            <w:tcW w:w="752" w:type="pct"/>
            <w:shd w:val="clear" w:color="auto" w:fill="auto"/>
            <w:vAlign w:val="center"/>
          </w:tcPr>
          <w:p w14:paraId="18D7723E" w14:textId="7A443B62" w:rsidR="00A31E8A" w:rsidRPr="00781112" w:rsidRDefault="00A31E8A" w:rsidP="00A31E8A">
            <w:pPr>
              <w:jc w:val="center"/>
              <w:rPr>
                <w:rFonts w:cs="Arial"/>
                <w:color w:val="000000" w:themeColor="text1"/>
                <w:szCs w:val="16"/>
              </w:rPr>
            </w:pPr>
            <w:r w:rsidRPr="00781112">
              <w:rPr>
                <w:rFonts w:cs="Arial"/>
                <w:color w:val="000000" w:themeColor="text1"/>
                <w:szCs w:val="16"/>
              </w:rPr>
              <w:t>48.90%</w:t>
            </w:r>
          </w:p>
        </w:tc>
        <w:tc>
          <w:tcPr>
            <w:tcW w:w="499" w:type="pct"/>
            <w:shd w:val="clear" w:color="auto" w:fill="auto"/>
            <w:vAlign w:val="center"/>
          </w:tcPr>
          <w:p w14:paraId="1C467869" w14:textId="36566B3C" w:rsidR="00A31E8A" w:rsidRPr="00781112" w:rsidRDefault="00A31E8A" w:rsidP="00A31E8A">
            <w:pPr>
              <w:jc w:val="center"/>
              <w:rPr>
                <w:rFonts w:cs="Arial"/>
                <w:color w:val="000000" w:themeColor="text1"/>
                <w:szCs w:val="16"/>
              </w:rPr>
            </w:pPr>
            <w:r w:rsidRPr="00781112">
              <w:rPr>
                <w:rFonts w:cs="Arial"/>
                <w:color w:val="000000" w:themeColor="text1"/>
                <w:szCs w:val="16"/>
              </w:rPr>
              <w:t>36.53%</w:t>
            </w:r>
          </w:p>
        </w:tc>
        <w:tc>
          <w:tcPr>
            <w:tcW w:w="601" w:type="pct"/>
            <w:shd w:val="clear" w:color="auto" w:fill="auto"/>
            <w:vAlign w:val="center"/>
          </w:tcPr>
          <w:p w14:paraId="56861D59" w14:textId="0856E80D"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14:paraId="7220CAED" w14:textId="6484F1AC" w:rsidR="00A31E8A" w:rsidRPr="00781112" w:rsidRDefault="00A31E8A" w:rsidP="00A31E8A">
            <w:pPr>
              <w:jc w:val="center"/>
              <w:rPr>
                <w:rFonts w:cs="Arial"/>
                <w:color w:val="000000" w:themeColor="text1"/>
                <w:szCs w:val="16"/>
              </w:rPr>
            </w:pPr>
            <w:r w:rsidRPr="00781112">
              <w:rPr>
                <w:rFonts w:cs="Arial"/>
                <w:color w:val="000000" w:themeColor="text1"/>
                <w:szCs w:val="16"/>
              </w:rPr>
              <w:t>Slippage</w:t>
            </w:r>
          </w:p>
        </w:tc>
      </w:tr>
    </w:tbl>
    <w:p w14:paraId="5AEEFFF3" w14:textId="77777777" w:rsidR="00BC545C" w:rsidRPr="00781112" w:rsidRDefault="00BC545C" w:rsidP="00BC545C">
      <w:pPr>
        <w:rPr>
          <w:b/>
          <w:color w:val="000000" w:themeColor="text1"/>
        </w:rPr>
      </w:pPr>
      <w:r w:rsidRPr="00781112">
        <w:rPr>
          <w:b/>
          <w:color w:val="000000" w:themeColor="text1"/>
        </w:rPr>
        <w:t>Provide reasons for slippage for Group A, if applicable</w:t>
      </w:r>
    </w:p>
    <w:p w14:paraId="1DDE00F8" w14:textId="3D8E6705" w:rsidR="00BC545C" w:rsidRPr="00781112" w:rsidRDefault="00BC545C" w:rsidP="00BC545C">
      <w:pPr>
        <w:rPr>
          <w:rFonts w:cs="Arial"/>
          <w:color w:val="000000" w:themeColor="text1"/>
          <w:szCs w:val="16"/>
        </w:rPr>
      </w:pPr>
      <w:r w:rsidRPr="00781112">
        <w:rPr>
          <w:rFonts w:cs="Arial"/>
          <w:color w:val="000000" w:themeColor="text1"/>
          <w:szCs w:val="16"/>
        </w:rPr>
        <w:t>The state does not have a verified explanation for slippage in the proficiency rate of 4th grade students with disabilities taking the math alternate assessment. We suspect one major factor is affecting proficiency: in response to improved guidance and regulation regarding which students are eligible for the alternate assessment in Oklahoma (the OAAP), LEAs have reduced the number of students taking the OAAP to align with the 1% requirement. This may have decreased the proficiency rate because fewer students are inappropriately participating each year.</w:t>
      </w:r>
    </w:p>
    <w:p w14:paraId="3FB91E80" w14:textId="77777777" w:rsidR="00BC545C" w:rsidRPr="00781112" w:rsidRDefault="00BC545C" w:rsidP="00BC545C">
      <w:pPr>
        <w:rPr>
          <w:b/>
          <w:color w:val="000000" w:themeColor="text1"/>
        </w:rPr>
      </w:pPr>
      <w:r w:rsidRPr="00781112">
        <w:rPr>
          <w:b/>
          <w:color w:val="000000" w:themeColor="text1"/>
        </w:rPr>
        <w:t>Provide reasons for slippage for Group C, if applicable</w:t>
      </w:r>
    </w:p>
    <w:p w14:paraId="3BD3EF8A" w14:textId="7B37B94B" w:rsidR="00BC545C" w:rsidRPr="00781112" w:rsidRDefault="00BC545C" w:rsidP="00BC545C">
      <w:pPr>
        <w:rPr>
          <w:rFonts w:cs="Arial"/>
          <w:color w:val="000000" w:themeColor="text1"/>
          <w:szCs w:val="16"/>
        </w:rPr>
      </w:pPr>
      <w:r w:rsidRPr="00781112">
        <w:rPr>
          <w:rFonts w:cs="Arial"/>
          <w:color w:val="000000" w:themeColor="text1"/>
          <w:szCs w:val="16"/>
        </w:rPr>
        <w:t>The state does not have a verified explanation for slippage in the proficiency rate of 11th grade students with disabilities taking the math alternate assessment. We suspect one major factor is affecting proficiency: in response to improved guidance and regulation regarding which students are eligible for the alternate assessment in Oklahoma (the OAAP), LEAs have reduced the number of students taking the OAAP to align with the 1% requirement. This may have decreased the proficiency rate because fewer students are inappropriately participating each year.</w:t>
      </w:r>
    </w:p>
    <w:p w14:paraId="5EB0A206" w14:textId="77777777" w:rsidR="00445640" w:rsidRPr="00781112" w:rsidRDefault="00445640" w:rsidP="000C3A20">
      <w:pPr>
        <w:rPr>
          <w:color w:val="000000" w:themeColor="text1"/>
        </w:rPr>
      </w:pPr>
    </w:p>
    <w:p w14:paraId="4F8B3B70" w14:textId="05453045" w:rsidR="000A5A2E" w:rsidRPr="00781112" w:rsidRDefault="000A5A2E" w:rsidP="004369B2">
      <w:pPr>
        <w:rPr>
          <w:color w:val="000000" w:themeColor="text1"/>
        </w:rPr>
      </w:pPr>
      <w:r w:rsidRPr="00781112">
        <w:rPr>
          <w:b/>
          <w:color w:val="000000" w:themeColor="text1"/>
        </w:rPr>
        <w:t>Regulatory Information</w:t>
      </w:r>
    </w:p>
    <w:p w14:paraId="2B741846" w14:textId="30EBAA23"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7C3B3355" w14:textId="77777777" w:rsidR="00241BD0" w:rsidRPr="00781112" w:rsidRDefault="00241BD0" w:rsidP="004369B2">
      <w:pPr>
        <w:rPr>
          <w:color w:val="000000" w:themeColor="text1"/>
        </w:rPr>
      </w:pPr>
    </w:p>
    <w:p w14:paraId="1FD3EE14" w14:textId="6446691C" w:rsidR="000A5A2E" w:rsidRPr="00781112" w:rsidRDefault="000A5A2E" w:rsidP="004369B2">
      <w:pPr>
        <w:rPr>
          <w:color w:val="000000" w:themeColor="text1"/>
        </w:rPr>
      </w:pPr>
      <w:r w:rsidRPr="00781112">
        <w:rPr>
          <w:b/>
          <w:color w:val="000000" w:themeColor="text1"/>
        </w:rPr>
        <w:t>Public Reporting Information</w:t>
      </w:r>
    </w:p>
    <w:p w14:paraId="20613508"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F0C4C7F" w14:textId="52384A95"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t>https://sde.ok.gov/documents/2012-10-01/special-education-data-and-reporting-part-b-children-ages-3-through-21</w:t>
      </w:r>
    </w:p>
    <w:p w14:paraId="32BCE51B"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19728EE3" w14:textId="7FE6C853" w:rsidR="00A869E9" w:rsidRPr="00781112" w:rsidRDefault="002B7490" w:rsidP="000E33D0">
      <w:pPr>
        <w:rPr>
          <w:rFonts w:cs="Arial"/>
          <w:color w:val="000000" w:themeColor="text1"/>
          <w:szCs w:val="16"/>
        </w:rPr>
      </w:pPr>
      <w:r w:rsidRPr="00781112">
        <w:rPr>
          <w:rFonts w:cs="Arial"/>
          <w:color w:val="000000" w:themeColor="text1"/>
          <w:szCs w:val="16"/>
          <w:shd w:val="clear" w:color="auto" w:fill="FFFFFF"/>
        </w:rPr>
        <w:t xml:space="preserve">Because the APR now highlights the proficiency of students taking the alternate assessment separately from the general assessment, the state is hearing from districts that they are paying more attention to how they prepare these students for the annual assessment process. They are looking more closely at the supports and curriculum they provide as well as the physical preparation students may need (time in front of the computer to prepare for the assessment, for example). We suspect that improvement efforts across struggling districts will result in higher achievement in future years.  </w:t>
      </w:r>
    </w:p>
    <w:p w14:paraId="1C326C48" w14:textId="1B3ADE94" w:rsidR="000A2C83" w:rsidRPr="00781112" w:rsidRDefault="00573F6C" w:rsidP="008645AD">
      <w:pPr>
        <w:pStyle w:val="Heading2"/>
      </w:pPr>
      <w:r w:rsidRPr="00781112">
        <w:t>3C</w:t>
      </w:r>
      <w:r w:rsidR="00BB4FD7" w:rsidRPr="00781112">
        <w:t xml:space="preserve"> </w:t>
      </w:r>
      <w:r w:rsidRPr="00781112">
        <w:t xml:space="preserve">- </w:t>
      </w:r>
      <w:r w:rsidR="000A2C83" w:rsidRPr="00781112">
        <w:t>Prior FFY Required Actions</w:t>
      </w:r>
    </w:p>
    <w:p w14:paraId="5570C94B" w14:textId="51EF4ED4" w:rsidR="000A2C83" w:rsidRPr="00781112" w:rsidRDefault="002B7490" w:rsidP="000A2C83">
      <w:pPr>
        <w:rPr>
          <w:rFonts w:cs="Arial"/>
          <w:color w:val="000000" w:themeColor="text1"/>
          <w:szCs w:val="16"/>
        </w:rPr>
      </w:pPr>
      <w:r w:rsidRPr="00781112">
        <w:rPr>
          <w:rFonts w:cs="Arial"/>
          <w:color w:val="000000" w:themeColor="text1"/>
          <w:szCs w:val="16"/>
        </w:rPr>
        <w:t>None</w:t>
      </w:r>
    </w:p>
    <w:p w14:paraId="0EFAA7F7" w14:textId="77777777" w:rsidR="00247959" w:rsidRPr="00781112" w:rsidRDefault="00247959" w:rsidP="000A2C83">
      <w:pPr>
        <w:rPr>
          <w:rFonts w:cs="Arial"/>
          <w:color w:val="000000" w:themeColor="text1"/>
          <w:szCs w:val="16"/>
        </w:rPr>
      </w:pPr>
    </w:p>
    <w:p w14:paraId="1E98E6A2" w14:textId="3C798D76" w:rsidR="00796DC0" w:rsidRPr="00781112" w:rsidRDefault="00573F6C" w:rsidP="008645AD">
      <w:pPr>
        <w:pStyle w:val="Heading2"/>
      </w:pPr>
      <w:r w:rsidRPr="00781112">
        <w:t>3C - OSEP Response</w:t>
      </w:r>
    </w:p>
    <w:p w14:paraId="742F0548" w14:textId="6CBFA0D3" w:rsidR="00A869E9" w:rsidRPr="00781112" w:rsidRDefault="00A869E9" w:rsidP="001F692C">
      <w:pPr>
        <w:rPr>
          <w:rFonts w:cs="Arial"/>
          <w:color w:val="000000" w:themeColor="text1"/>
          <w:szCs w:val="16"/>
          <w:shd w:val="clear" w:color="auto" w:fill="FFFFFF"/>
        </w:rPr>
      </w:pPr>
    </w:p>
    <w:p w14:paraId="0774F476" w14:textId="1E34BC77" w:rsidR="00796DC0" w:rsidRPr="00781112" w:rsidRDefault="00573F6C" w:rsidP="008645AD">
      <w:pPr>
        <w:pStyle w:val="Heading2"/>
      </w:pPr>
      <w:r w:rsidRPr="00781112">
        <w:t>3C - Required Actions</w:t>
      </w:r>
    </w:p>
    <w:p w14:paraId="5E46A453" w14:textId="5260AC47" w:rsidR="00A869E9" w:rsidRPr="00781112" w:rsidRDefault="00A869E9" w:rsidP="001F692C">
      <w:pPr>
        <w:rPr>
          <w:rFonts w:cs="Arial"/>
          <w:color w:val="000000" w:themeColor="text1"/>
          <w:szCs w:val="16"/>
          <w:shd w:val="clear" w:color="auto" w:fill="FFFFFF"/>
        </w:rPr>
      </w:pPr>
    </w:p>
    <w:p w14:paraId="5933CC1B" w14:textId="40F9F685"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04EE5889" w14:textId="73DDCB24" w:rsidR="00764DDE" w:rsidRPr="00781112" w:rsidRDefault="00764DDE" w:rsidP="00764DDE">
      <w:pPr>
        <w:pStyle w:val="Heading1"/>
        <w:rPr>
          <w:color w:val="000000" w:themeColor="text1"/>
          <w:sz w:val="22"/>
        </w:rPr>
      </w:pPr>
      <w:r w:rsidRPr="00781112">
        <w:rPr>
          <w:color w:val="000000" w:themeColor="text1"/>
          <w:sz w:val="22"/>
        </w:rPr>
        <w:lastRenderedPageBreak/>
        <w:t>Indicator 3D: Gap in Proficiency Rates (Grade Level Academic Achievement Standards)</w:t>
      </w:r>
    </w:p>
    <w:p w14:paraId="46C730FF" w14:textId="77777777" w:rsidR="00764DDE" w:rsidRPr="00781112" w:rsidRDefault="00764DDE" w:rsidP="00764DDE">
      <w:pPr>
        <w:rPr>
          <w:color w:val="000000" w:themeColor="text1"/>
          <w:szCs w:val="20"/>
        </w:rPr>
      </w:pPr>
      <w:r w:rsidRPr="00781112">
        <w:rPr>
          <w:b/>
          <w:color w:val="000000" w:themeColor="text1"/>
          <w:sz w:val="20"/>
          <w:szCs w:val="20"/>
        </w:rPr>
        <w:t>Instructions and Measurement</w:t>
      </w:r>
    </w:p>
    <w:p w14:paraId="62AF8D70"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03D1E39F"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39C0DF3F"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37414902"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E9A9263"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6AEED6CC"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67B35375"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0BC18EE2" w14:textId="77777777" w:rsidR="00764DDE" w:rsidRPr="00781112" w:rsidRDefault="00764DDE" w:rsidP="00764DDE">
      <w:pPr>
        <w:rPr>
          <w:color w:val="000000" w:themeColor="text1"/>
        </w:rPr>
      </w:pPr>
      <w:r w:rsidRPr="00781112">
        <w:rPr>
          <w:b/>
          <w:color w:val="000000" w:themeColor="text1"/>
        </w:rPr>
        <w:t>Data Source</w:t>
      </w:r>
    </w:p>
    <w:p w14:paraId="3AB8B5B6" w14:textId="77777777" w:rsidR="00876D2A" w:rsidRPr="00781112" w:rsidRDefault="00876D2A" w:rsidP="00876D2A">
      <w:pPr>
        <w:rPr>
          <w:rFonts w:cs="Arial"/>
          <w:szCs w:val="16"/>
        </w:rPr>
      </w:pPr>
      <w:r w:rsidRPr="00781112">
        <w:rPr>
          <w:rFonts w:cs="Arial"/>
          <w:szCs w:val="16"/>
        </w:rPr>
        <w:t>3D. Same data as used for reporting to the Department under Title I of the ESEA, using EDFacts file specifications FS175 and 178.</w:t>
      </w:r>
    </w:p>
    <w:p w14:paraId="7A02CC2C" w14:textId="77777777" w:rsidR="00764DDE" w:rsidRPr="00781112" w:rsidRDefault="00764DDE" w:rsidP="00764DDE">
      <w:pPr>
        <w:rPr>
          <w:color w:val="000000" w:themeColor="text1"/>
        </w:rPr>
      </w:pPr>
      <w:r w:rsidRPr="00781112">
        <w:rPr>
          <w:b/>
          <w:color w:val="000000" w:themeColor="text1"/>
        </w:rPr>
        <w:t>Measurement</w:t>
      </w:r>
    </w:p>
    <w:p w14:paraId="4FEF37F2" w14:textId="476C8C14"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2021-2022 school year) subtracted from the (proficiency rate for all students scoring at or above proficient against grade level academic achievement standards for the 2021-2022 school year)]. Calculate separately for reading and math. Calculate separately for grades 4, 8, and high school. The proficiency rate includes all children enrolled for a full academic year and those not enrolled for a full academic year.</w:t>
      </w:r>
    </w:p>
    <w:p w14:paraId="69B5F103" w14:textId="77777777" w:rsidR="00764DDE" w:rsidRPr="00781112" w:rsidRDefault="00764DDE" w:rsidP="00764DDE">
      <w:pPr>
        <w:rPr>
          <w:color w:val="000000" w:themeColor="text1"/>
        </w:rPr>
      </w:pPr>
      <w:r w:rsidRPr="00781112">
        <w:rPr>
          <w:b/>
          <w:color w:val="000000" w:themeColor="text1"/>
        </w:rPr>
        <w:t>Instructions</w:t>
      </w:r>
    </w:p>
    <w:p w14:paraId="06ED299B" w14:textId="7777777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5361E418"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781112">
        <w:rPr>
          <w:b w:val="0"/>
          <w:bCs/>
          <w:i/>
        </w:rPr>
        <w:t>i.e.</w:t>
      </w:r>
      <w:r w:rsidRPr="00781112">
        <w:rPr>
          <w:b w:val="0"/>
          <w:bCs/>
        </w:rPr>
        <w:t>, a link to the Web site where these data are reported.</w:t>
      </w:r>
    </w:p>
    <w:p w14:paraId="6D783CD1" w14:textId="735718BB"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2021-2022 school year compared to the proficiency rate for all students who were proficient against grade level academic achievement standards for the 2021-2022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272DFFEC" w14:textId="493A26BE" w:rsidR="00764DDE" w:rsidRPr="00781112" w:rsidRDefault="00764DDE" w:rsidP="00764DDE">
      <w:pPr>
        <w:pStyle w:val="Heading2"/>
      </w:pPr>
      <w:r w:rsidRPr="00781112">
        <w:t>3D - Indicator Data</w:t>
      </w:r>
    </w:p>
    <w:p w14:paraId="7CC64996" w14:textId="77777777" w:rsidR="00DD5B7A" w:rsidRPr="00781112" w:rsidRDefault="00DD5B7A" w:rsidP="00DD5B7A"/>
    <w:p w14:paraId="5E01F354"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65AC4D07" w14:textId="77777777" w:rsidTr="009725F4">
        <w:trPr>
          <w:trHeight w:val="368"/>
          <w:tblHeader/>
        </w:trPr>
        <w:tc>
          <w:tcPr>
            <w:tcW w:w="736" w:type="pct"/>
            <w:tcBorders>
              <w:top w:val="single" w:sz="4" w:space="0" w:color="auto"/>
            </w:tcBorders>
            <w:vAlign w:val="center"/>
          </w:tcPr>
          <w:p w14:paraId="0BE0D6D4"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4B9E396A"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100D6C6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6E047D89"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D50F3F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70B05A32" w14:textId="77777777" w:rsidTr="00360DD6">
        <w:trPr>
          <w:trHeight w:val="368"/>
        </w:trPr>
        <w:tc>
          <w:tcPr>
            <w:tcW w:w="736" w:type="pct"/>
            <w:vAlign w:val="center"/>
          </w:tcPr>
          <w:p w14:paraId="1E1400E1"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726A7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06B2FF2" w14:textId="0257EDF0"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6B1B3326" w14:textId="475D3617"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D86351D" w14:textId="7DD98963" w:rsidR="00DD5B7A" w:rsidRPr="00781112" w:rsidRDefault="00DD5B7A" w:rsidP="00827FF4">
            <w:pPr>
              <w:spacing w:before="0" w:after="0"/>
              <w:jc w:val="center"/>
              <w:rPr>
                <w:color w:val="000000" w:themeColor="text1"/>
              </w:rPr>
            </w:pPr>
            <w:r w:rsidRPr="00781112">
              <w:rPr>
                <w:rFonts w:cs="Arial"/>
                <w:color w:val="000000" w:themeColor="text1"/>
                <w:szCs w:val="16"/>
              </w:rPr>
              <w:t>15.27</w:t>
            </w:r>
          </w:p>
        </w:tc>
      </w:tr>
      <w:tr w:rsidR="00DD5B7A" w:rsidRPr="00781112" w14:paraId="7DB1C775" w14:textId="77777777" w:rsidTr="00360DD6">
        <w:trPr>
          <w:trHeight w:val="368"/>
        </w:trPr>
        <w:tc>
          <w:tcPr>
            <w:tcW w:w="736" w:type="pct"/>
            <w:vAlign w:val="center"/>
          </w:tcPr>
          <w:p w14:paraId="38812700"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DC20823"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7BEF817" w14:textId="375B6CFE"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644047DF" w14:textId="126BB3C2"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111214B9" w14:textId="3291E6F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19.45</w:t>
            </w:r>
          </w:p>
        </w:tc>
      </w:tr>
      <w:tr w:rsidR="00DD5B7A" w:rsidRPr="00781112" w14:paraId="468C5707" w14:textId="77777777" w:rsidTr="00360DD6">
        <w:trPr>
          <w:trHeight w:val="368"/>
        </w:trPr>
        <w:tc>
          <w:tcPr>
            <w:tcW w:w="736" w:type="pct"/>
            <w:vAlign w:val="center"/>
          </w:tcPr>
          <w:p w14:paraId="283DD3EF"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66F83830"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5B906466" w14:textId="7AB9DEC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4D688A86" w14:textId="0A70602B"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E971EFB" w14:textId="111D0794"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24.48</w:t>
            </w:r>
          </w:p>
        </w:tc>
      </w:tr>
      <w:tr w:rsidR="00DD5B7A" w:rsidRPr="00781112" w14:paraId="40BEF17A" w14:textId="77777777" w:rsidTr="00360DD6">
        <w:trPr>
          <w:trHeight w:val="368"/>
        </w:trPr>
        <w:tc>
          <w:tcPr>
            <w:tcW w:w="736" w:type="pct"/>
            <w:vAlign w:val="center"/>
          </w:tcPr>
          <w:p w14:paraId="10F38B33"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A2FED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BB0AC7F" w14:textId="3CC5AB81"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D65D13" w14:textId="770510BC"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1BD930B" w14:textId="329DAC52"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16.55</w:t>
            </w:r>
          </w:p>
        </w:tc>
      </w:tr>
      <w:tr w:rsidR="00DD5B7A" w:rsidRPr="00781112" w14:paraId="58025947" w14:textId="77777777" w:rsidTr="00360DD6">
        <w:trPr>
          <w:trHeight w:val="368"/>
        </w:trPr>
        <w:tc>
          <w:tcPr>
            <w:tcW w:w="736" w:type="pct"/>
            <w:vAlign w:val="center"/>
          </w:tcPr>
          <w:p w14:paraId="78429F0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EDC855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CF56AA5" w14:textId="0CC49FE5"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E0933AD" w14:textId="4526CD59"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21057BA" w14:textId="390B5FB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11.10</w:t>
            </w:r>
          </w:p>
        </w:tc>
      </w:tr>
      <w:tr w:rsidR="00DD5B7A" w:rsidRPr="00781112" w14:paraId="760D00F1" w14:textId="77777777" w:rsidTr="00360DD6">
        <w:trPr>
          <w:trHeight w:val="368"/>
        </w:trPr>
        <w:tc>
          <w:tcPr>
            <w:tcW w:w="736" w:type="pct"/>
            <w:vAlign w:val="center"/>
          </w:tcPr>
          <w:p w14:paraId="6D27E968"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F323B3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351646FB" w14:textId="156B4E70"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32ADE626" w14:textId="141B037F"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46306E9" w14:textId="2609FDFB"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16.66</w:t>
            </w:r>
          </w:p>
        </w:tc>
      </w:tr>
    </w:tbl>
    <w:p w14:paraId="6BEA17C2" w14:textId="77777777" w:rsidR="00DD5B7A" w:rsidRPr="00781112" w:rsidRDefault="00DD5B7A" w:rsidP="00DD5B7A">
      <w:pPr>
        <w:spacing w:before="0" w:after="200" w:line="276" w:lineRule="auto"/>
        <w:rPr>
          <w:b/>
          <w:color w:val="000000" w:themeColor="text1"/>
        </w:rPr>
      </w:pPr>
    </w:p>
    <w:p w14:paraId="0E9E5136" w14:textId="77777777" w:rsidR="00DD5B7A" w:rsidRPr="00781112" w:rsidRDefault="00DD5B7A" w:rsidP="00DD5B7A">
      <w:pPr>
        <w:rPr>
          <w:b/>
          <w:color w:val="000000" w:themeColor="text1"/>
        </w:rPr>
      </w:pPr>
      <w:r w:rsidRPr="00781112">
        <w:rPr>
          <w:b/>
          <w:color w:val="000000" w:themeColor="text1"/>
        </w:rPr>
        <w:t>Targets</w:t>
      </w:r>
    </w:p>
    <w:tbl>
      <w:tblPr>
        <w:tblW w:w="4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6"/>
        <w:gridCol w:w="722"/>
        <w:gridCol w:w="1172"/>
        <w:gridCol w:w="1334"/>
        <w:gridCol w:w="1333"/>
        <w:gridCol w:w="1333"/>
        <w:gridCol w:w="1333"/>
        <w:gridCol w:w="1333"/>
      </w:tblGrid>
      <w:tr w:rsidR="00B14519" w:rsidRPr="00781112" w14:paraId="32AE1F59" w14:textId="77777777" w:rsidTr="00451D7E">
        <w:tc>
          <w:tcPr>
            <w:tcW w:w="473" w:type="pct"/>
            <w:tcBorders>
              <w:bottom w:val="single" w:sz="4" w:space="0" w:color="auto"/>
            </w:tcBorders>
            <w:shd w:val="clear" w:color="auto" w:fill="auto"/>
            <w:vAlign w:val="center"/>
          </w:tcPr>
          <w:p w14:paraId="6A9E2F19" w14:textId="77777777" w:rsidR="00B14519" w:rsidRPr="00781112" w:rsidRDefault="00B14519" w:rsidP="00827FF4">
            <w:pPr>
              <w:jc w:val="center"/>
              <w:rPr>
                <w:b/>
                <w:color w:val="000000" w:themeColor="text1"/>
              </w:rPr>
            </w:pPr>
            <w:r w:rsidRPr="00781112">
              <w:rPr>
                <w:b/>
                <w:color w:val="000000" w:themeColor="text1"/>
              </w:rPr>
              <w:t>Subject</w:t>
            </w:r>
          </w:p>
        </w:tc>
        <w:tc>
          <w:tcPr>
            <w:tcW w:w="381" w:type="pct"/>
            <w:tcBorders>
              <w:bottom w:val="single" w:sz="4" w:space="0" w:color="auto"/>
            </w:tcBorders>
            <w:shd w:val="clear" w:color="auto" w:fill="auto"/>
            <w:vAlign w:val="center"/>
          </w:tcPr>
          <w:p w14:paraId="5181D1E9" w14:textId="77777777" w:rsidR="00B14519" w:rsidRPr="00781112" w:rsidRDefault="00B14519" w:rsidP="00827FF4">
            <w:pPr>
              <w:jc w:val="center"/>
              <w:rPr>
                <w:b/>
                <w:color w:val="000000" w:themeColor="text1"/>
              </w:rPr>
            </w:pPr>
            <w:r w:rsidRPr="00781112">
              <w:rPr>
                <w:b/>
                <w:color w:val="000000" w:themeColor="text1"/>
              </w:rPr>
              <w:t>Group</w:t>
            </w:r>
          </w:p>
        </w:tc>
        <w:tc>
          <w:tcPr>
            <w:tcW w:w="619" w:type="pct"/>
            <w:shd w:val="clear" w:color="auto" w:fill="auto"/>
            <w:vAlign w:val="center"/>
          </w:tcPr>
          <w:p w14:paraId="7C5EACD6" w14:textId="77777777" w:rsidR="00B14519" w:rsidRPr="00781112" w:rsidDel="008E7B87" w:rsidRDefault="00B14519" w:rsidP="00827FF4">
            <w:pPr>
              <w:jc w:val="center"/>
              <w:rPr>
                <w:b/>
                <w:color w:val="000000" w:themeColor="text1"/>
              </w:rPr>
            </w:pPr>
            <w:r w:rsidRPr="00781112">
              <w:rPr>
                <w:b/>
                <w:color w:val="000000" w:themeColor="text1"/>
              </w:rPr>
              <w:t>Group Name</w:t>
            </w:r>
          </w:p>
        </w:tc>
        <w:tc>
          <w:tcPr>
            <w:tcW w:w="705" w:type="pct"/>
            <w:shd w:val="clear" w:color="auto" w:fill="auto"/>
            <w:vAlign w:val="center"/>
          </w:tcPr>
          <w:p w14:paraId="57197BBC" w14:textId="77777777" w:rsidR="00B14519" w:rsidRPr="00781112" w:rsidRDefault="00B14519" w:rsidP="00827FF4">
            <w:pPr>
              <w:jc w:val="center"/>
              <w:rPr>
                <w:b/>
                <w:color w:val="000000" w:themeColor="text1"/>
              </w:rPr>
            </w:pPr>
            <w:r w:rsidRPr="00781112">
              <w:rPr>
                <w:b/>
                <w:color w:val="000000" w:themeColor="text1"/>
              </w:rPr>
              <w:t>2021</w:t>
            </w:r>
          </w:p>
        </w:tc>
        <w:tc>
          <w:tcPr>
            <w:tcW w:w="705" w:type="pct"/>
            <w:vAlign w:val="center"/>
          </w:tcPr>
          <w:p w14:paraId="07ACCE04" w14:textId="77777777" w:rsidR="00B14519" w:rsidRPr="00781112" w:rsidRDefault="00B14519" w:rsidP="00827FF4">
            <w:pPr>
              <w:jc w:val="center"/>
              <w:rPr>
                <w:b/>
                <w:color w:val="000000" w:themeColor="text1"/>
              </w:rPr>
            </w:pPr>
            <w:r w:rsidRPr="00781112">
              <w:rPr>
                <w:rFonts w:cs="Arial"/>
                <w:b/>
                <w:color w:val="000000" w:themeColor="text1"/>
                <w:szCs w:val="16"/>
              </w:rPr>
              <w:t>2022</w:t>
            </w:r>
          </w:p>
        </w:tc>
        <w:tc>
          <w:tcPr>
            <w:tcW w:w="705" w:type="pct"/>
            <w:vAlign w:val="center"/>
          </w:tcPr>
          <w:p w14:paraId="0B682674" w14:textId="77777777" w:rsidR="00B14519" w:rsidRPr="00781112" w:rsidRDefault="00B14519" w:rsidP="00827FF4">
            <w:pPr>
              <w:jc w:val="center"/>
              <w:rPr>
                <w:b/>
                <w:color w:val="000000" w:themeColor="text1"/>
              </w:rPr>
            </w:pPr>
            <w:r w:rsidRPr="00781112">
              <w:rPr>
                <w:rFonts w:cs="Arial"/>
                <w:b/>
                <w:color w:val="000000" w:themeColor="text1"/>
                <w:szCs w:val="16"/>
              </w:rPr>
              <w:t>2023</w:t>
            </w:r>
          </w:p>
        </w:tc>
        <w:tc>
          <w:tcPr>
            <w:tcW w:w="705" w:type="pct"/>
            <w:vAlign w:val="center"/>
          </w:tcPr>
          <w:p w14:paraId="3597F00E" w14:textId="77777777" w:rsidR="00B14519" w:rsidRPr="00781112" w:rsidRDefault="00B14519" w:rsidP="00827FF4">
            <w:pPr>
              <w:jc w:val="center"/>
              <w:rPr>
                <w:b/>
                <w:color w:val="000000" w:themeColor="text1"/>
              </w:rPr>
            </w:pPr>
            <w:r w:rsidRPr="00781112">
              <w:rPr>
                <w:rFonts w:cs="Arial"/>
                <w:b/>
                <w:color w:val="000000" w:themeColor="text1"/>
                <w:szCs w:val="16"/>
              </w:rPr>
              <w:t>2024</w:t>
            </w:r>
          </w:p>
        </w:tc>
        <w:tc>
          <w:tcPr>
            <w:tcW w:w="705" w:type="pct"/>
            <w:vAlign w:val="center"/>
          </w:tcPr>
          <w:p w14:paraId="20E1209B" w14:textId="77777777" w:rsidR="00B14519" w:rsidRPr="00781112" w:rsidRDefault="00B14519" w:rsidP="00827FF4">
            <w:pPr>
              <w:jc w:val="center"/>
              <w:rPr>
                <w:b/>
                <w:color w:val="000000" w:themeColor="text1"/>
              </w:rPr>
            </w:pPr>
            <w:r w:rsidRPr="00781112">
              <w:rPr>
                <w:rFonts w:cs="Arial"/>
                <w:b/>
                <w:color w:val="000000" w:themeColor="text1"/>
                <w:szCs w:val="16"/>
              </w:rPr>
              <w:t>2025</w:t>
            </w:r>
          </w:p>
        </w:tc>
      </w:tr>
      <w:tr w:rsidR="00B14519" w:rsidRPr="00781112" w14:paraId="506F660C" w14:textId="77777777" w:rsidTr="00451D7E">
        <w:tc>
          <w:tcPr>
            <w:tcW w:w="473" w:type="pct"/>
            <w:shd w:val="clear" w:color="auto" w:fill="auto"/>
            <w:vAlign w:val="center"/>
          </w:tcPr>
          <w:p w14:paraId="5CF55C17"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14:paraId="4BDAD87D"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A &lt;=</w:t>
            </w:r>
          </w:p>
        </w:tc>
        <w:tc>
          <w:tcPr>
            <w:tcW w:w="619" w:type="pct"/>
            <w:shd w:val="clear" w:color="auto" w:fill="auto"/>
            <w:vAlign w:val="center"/>
          </w:tcPr>
          <w:p w14:paraId="25B01019" w14:textId="68614C3D" w:rsidR="00B14519" w:rsidRPr="00781112" w:rsidDel="00DB0A73" w:rsidRDefault="00B14519" w:rsidP="00827FF4">
            <w:pPr>
              <w:jc w:val="center"/>
              <w:rPr>
                <w:rFonts w:cs="Arial"/>
                <w:color w:val="000000" w:themeColor="text1"/>
                <w:szCs w:val="16"/>
              </w:rPr>
            </w:pPr>
            <w:r w:rsidRPr="00781112">
              <w:rPr>
                <w:rFonts w:cs="Arial"/>
                <w:color w:val="000000" w:themeColor="text1"/>
                <w:szCs w:val="16"/>
              </w:rPr>
              <w:t>Grade 4</w:t>
            </w:r>
          </w:p>
        </w:tc>
        <w:tc>
          <w:tcPr>
            <w:tcW w:w="705" w:type="pct"/>
            <w:shd w:val="clear" w:color="auto" w:fill="auto"/>
            <w:vAlign w:val="center"/>
          </w:tcPr>
          <w:p w14:paraId="6E665D01" w14:textId="380A2C73" w:rsidR="00B14519" w:rsidRPr="00781112" w:rsidRDefault="00B14519" w:rsidP="00827FF4">
            <w:pPr>
              <w:jc w:val="center"/>
              <w:rPr>
                <w:rFonts w:cs="Arial"/>
                <w:color w:val="000000" w:themeColor="text1"/>
                <w:szCs w:val="16"/>
              </w:rPr>
            </w:pPr>
            <w:r w:rsidRPr="00781112">
              <w:rPr>
                <w:rFonts w:cs="Arial"/>
                <w:color w:val="000000" w:themeColor="text1"/>
                <w:szCs w:val="16"/>
              </w:rPr>
              <w:t>14.27</w:t>
            </w:r>
          </w:p>
        </w:tc>
        <w:tc>
          <w:tcPr>
            <w:tcW w:w="705" w:type="pct"/>
            <w:vAlign w:val="center"/>
          </w:tcPr>
          <w:p w14:paraId="680AEBF8" w14:textId="435AE40D" w:rsidR="00B14519" w:rsidRPr="00781112" w:rsidRDefault="00B14519" w:rsidP="00827FF4">
            <w:pPr>
              <w:jc w:val="center"/>
              <w:rPr>
                <w:rFonts w:cs="Arial"/>
                <w:color w:val="000000" w:themeColor="text1"/>
                <w:szCs w:val="16"/>
              </w:rPr>
            </w:pPr>
            <w:r w:rsidRPr="00781112">
              <w:rPr>
                <w:rFonts w:cs="Arial"/>
                <w:color w:val="000000" w:themeColor="text1"/>
                <w:szCs w:val="16"/>
              </w:rPr>
              <w:t>13.27</w:t>
            </w:r>
            <w:r w:rsidRPr="00781112">
              <w:t xml:space="preserve"> </w:t>
            </w:r>
          </w:p>
        </w:tc>
        <w:tc>
          <w:tcPr>
            <w:tcW w:w="705" w:type="pct"/>
            <w:vAlign w:val="center"/>
          </w:tcPr>
          <w:p w14:paraId="060B65A2" w14:textId="3C5E7042" w:rsidR="00B14519" w:rsidRPr="00781112" w:rsidRDefault="00B14519" w:rsidP="00827FF4">
            <w:pPr>
              <w:jc w:val="center"/>
              <w:rPr>
                <w:rFonts w:cs="Arial"/>
                <w:color w:val="000000" w:themeColor="text1"/>
                <w:szCs w:val="16"/>
              </w:rPr>
            </w:pPr>
            <w:r w:rsidRPr="00781112">
              <w:rPr>
                <w:rFonts w:cs="Arial"/>
                <w:color w:val="000000" w:themeColor="text1"/>
                <w:szCs w:val="16"/>
              </w:rPr>
              <w:t>12.27</w:t>
            </w:r>
          </w:p>
        </w:tc>
        <w:tc>
          <w:tcPr>
            <w:tcW w:w="705" w:type="pct"/>
            <w:vAlign w:val="center"/>
          </w:tcPr>
          <w:p w14:paraId="7E46B7D6" w14:textId="00FC807B" w:rsidR="00B14519" w:rsidRPr="00781112" w:rsidRDefault="00B14519" w:rsidP="00827FF4">
            <w:pPr>
              <w:jc w:val="center"/>
              <w:rPr>
                <w:rFonts w:cs="Arial"/>
                <w:color w:val="000000" w:themeColor="text1"/>
                <w:szCs w:val="16"/>
              </w:rPr>
            </w:pPr>
            <w:r w:rsidRPr="00781112">
              <w:rPr>
                <w:rFonts w:cs="Arial"/>
                <w:color w:val="000000" w:themeColor="text1"/>
                <w:szCs w:val="16"/>
              </w:rPr>
              <w:t>11.27</w:t>
            </w:r>
          </w:p>
        </w:tc>
        <w:tc>
          <w:tcPr>
            <w:tcW w:w="705" w:type="pct"/>
            <w:vAlign w:val="center"/>
          </w:tcPr>
          <w:p w14:paraId="7A079196" w14:textId="4665429A" w:rsidR="00B14519" w:rsidRPr="00781112" w:rsidRDefault="00B14519" w:rsidP="00827FF4">
            <w:pPr>
              <w:jc w:val="center"/>
              <w:rPr>
                <w:rFonts w:cs="Arial"/>
                <w:color w:val="000000" w:themeColor="text1"/>
                <w:szCs w:val="16"/>
              </w:rPr>
            </w:pPr>
            <w:r w:rsidRPr="00781112">
              <w:rPr>
                <w:rFonts w:cs="Arial"/>
                <w:color w:val="000000" w:themeColor="text1"/>
                <w:szCs w:val="16"/>
              </w:rPr>
              <w:t>10.27</w:t>
            </w:r>
          </w:p>
        </w:tc>
      </w:tr>
      <w:tr w:rsidR="00B14519" w:rsidRPr="00781112" w14:paraId="109FA148" w14:textId="77777777" w:rsidTr="00451D7E">
        <w:tc>
          <w:tcPr>
            <w:tcW w:w="473" w:type="pct"/>
            <w:shd w:val="clear" w:color="auto" w:fill="auto"/>
            <w:vAlign w:val="center"/>
          </w:tcPr>
          <w:p w14:paraId="5CAAC2A8"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14:paraId="1DFAA13E"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B &lt;=</w:t>
            </w:r>
          </w:p>
        </w:tc>
        <w:tc>
          <w:tcPr>
            <w:tcW w:w="619" w:type="pct"/>
            <w:shd w:val="clear" w:color="auto" w:fill="auto"/>
            <w:vAlign w:val="center"/>
          </w:tcPr>
          <w:p w14:paraId="330884D1" w14:textId="3ED7AA15" w:rsidR="00B14519" w:rsidRPr="00781112" w:rsidDel="00DB0A73" w:rsidRDefault="00B14519" w:rsidP="00827FF4">
            <w:pPr>
              <w:jc w:val="center"/>
              <w:rPr>
                <w:rFonts w:cs="Arial"/>
                <w:color w:val="000000" w:themeColor="text1"/>
                <w:szCs w:val="16"/>
              </w:rPr>
            </w:pPr>
            <w:r w:rsidRPr="00781112">
              <w:rPr>
                <w:rFonts w:cs="Arial"/>
                <w:color w:val="000000" w:themeColor="text1"/>
                <w:szCs w:val="16"/>
              </w:rPr>
              <w:t>Grade 8</w:t>
            </w:r>
          </w:p>
        </w:tc>
        <w:tc>
          <w:tcPr>
            <w:tcW w:w="705" w:type="pct"/>
            <w:shd w:val="clear" w:color="auto" w:fill="auto"/>
            <w:vAlign w:val="center"/>
          </w:tcPr>
          <w:p w14:paraId="68DC0FBA" w14:textId="3776550F" w:rsidR="00B14519" w:rsidRPr="00781112" w:rsidRDefault="00B14519" w:rsidP="00827FF4">
            <w:pPr>
              <w:jc w:val="center"/>
              <w:rPr>
                <w:rFonts w:cs="Arial"/>
                <w:color w:val="000000" w:themeColor="text1"/>
                <w:szCs w:val="16"/>
              </w:rPr>
            </w:pPr>
            <w:r w:rsidRPr="00781112">
              <w:rPr>
                <w:rFonts w:cs="Arial"/>
                <w:color w:val="000000" w:themeColor="text1"/>
                <w:szCs w:val="16"/>
              </w:rPr>
              <w:t>18.45</w:t>
            </w:r>
          </w:p>
        </w:tc>
        <w:tc>
          <w:tcPr>
            <w:tcW w:w="705" w:type="pct"/>
            <w:vAlign w:val="center"/>
          </w:tcPr>
          <w:p w14:paraId="5D544F8D" w14:textId="7D5BE3EF" w:rsidR="00B14519" w:rsidRPr="00781112" w:rsidRDefault="00B14519" w:rsidP="00827FF4">
            <w:pPr>
              <w:jc w:val="center"/>
              <w:rPr>
                <w:rFonts w:cs="Arial"/>
                <w:color w:val="000000" w:themeColor="text1"/>
                <w:szCs w:val="16"/>
              </w:rPr>
            </w:pPr>
            <w:r w:rsidRPr="00781112">
              <w:rPr>
                <w:rFonts w:cs="Arial"/>
                <w:color w:val="000000" w:themeColor="text1"/>
                <w:szCs w:val="16"/>
              </w:rPr>
              <w:t>17.45</w:t>
            </w:r>
          </w:p>
        </w:tc>
        <w:tc>
          <w:tcPr>
            <w:tcW w:w="705" w:type="pct"/>
            <w:vAlign w:val="center"/>
          </w:tcPr>
          <w:p w14:paraId="067CAD2B" w14:textId="5DA2AE3C" w:rsidR="00B14519" w:rsidRPr="00781112" w:rsidRDefault="00B14519" w:rsidP="00827FF4">
            <w:pPr>
              <w:jc w:val="center"/>
              <w:rPr>
                <w:rFonts w:cs="Arial"/>
                <w:color w:val="000000" w:themeColor="text1"/>
                <w:szCs w:val="16"/>
              </w:rPr>
            </w:pPr>
            <w:r w:rsidRPr="00781112">
              <w:rPr>
                <w:rFonts w:cs="Arial"/>
                <w:color w:val="000000" w:themeColor="text1"/>
                <w:szCs w:val="16"/>
              </w:rPr>
              <w:t>16.45</w:t>
            </w:r>
          </w:p>
        </w:tc>
        <w:tc>
          <w:tcPr>
            <w:tcW w:w="705" w:type="pct"/>
            <w:vAlign w:val="center"/>
          </w:tcPr>
          <w:p w14:paraId="780BEF08" w14:textId="2245CB58" w:rsidR="00B14519" w:rsidRPr="00781112" w:rsidRDefault="00B14519" w:rsidP="00827FF4">
            <w:pPr>
              <w:jc w:val="center"/>
              <w:rPr>
                <w:rFonts w:cs="Arial"/>
                <w:color w:val="000000" w:themeColor="text1"/>
                <w:szCs w:val="16"/>
              </w:rPr>
            </w:pPr>
            <w:r w:rsidRPr="00781112">
              <w:rPr>
                <w:rFonts w:cs="Arial"/>
                <w:color w:val="000000" w:themeColor="text1"/>
                <w:szCs w:val="16"/>
              </w:rPr>
              <w:t>15.45</w:t>
            </w:r>
          </w:p>
        </w:tc>
        <w:tc>
          <w:tcPr>
            <w:tcW w:w="705" w:type="pct"/>
            <w:vAlign w:val="center"/>
          </w:tcPr>
          <w:p w14:paraId="7CDE10BF" w14:textId="33273B74" w:rsidR="00B14519" w:rsidRPr="00781112" w:rsidRDefault="00B14519" w:rsidP="00827FF4">
            <w:pPr>
              <w:jc w:val="center"/>
              <w:rPr>
                <w:rFonts w:cs="Arial"/>
                <w:color w:val="000000" w:themeColor="text1"/>
                <w:szCs w:val="16"/>
              </w:rPr>
            </w:pPr>
            <w:r w:rsidRPr="00781112">
              <w:rPr>
                <w:rFonts w:cs="Arial"/>
                <w:color w:val="000000" w:themeColor="text1"/>
                <w:szCs w:val="16"/>
              </w:rPr>
              <w:t>14.45</w:t>
            </w:r>
          </w:p>
        </w:tc>
      </w:tr>
      <w:tr w:rsidR="00B14519" w:rsidRPr="00781112" w14:paraId="736D24EA" w14:textId="77777777" w:rsidTr="00451D7E">
        <w:tc>
          <w:tcPr>
            <w:tcW w:w="473" w:type="pct"/>
            <w:shd w:val="clear" w:color="auto" w:fill="auto"/>
            <w:vAlign w:val="center"/>
          </w:tcPr>
          <w:p w14:paraId="56FB00C6"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14:paraId="76599FEA"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C &lt;=</w:t>
            </w:r>
          </w:p>
        </w:tc>
        <w:tc>
          <w:tcPr>
            <w:tcW w:w="619" w:type="pct"/>
            <w:shd w:val="clear" w:color="auto" w:fill="auto"/>
            <w:vAlign w:val="center"/>
          </w:tcPr>
          <w:p w14:paraId="6758DB1A" w14:textId="51D63552" w:rsidR="00B14519" w:rsidRPr="00781112" w:rsidDel="00DB0A73" w:rsidRDefault="00B14519" w:rsidP="00827FF4">
            <w:pPr>
              <w:jc w:val="center"/>
              <w:rPr>
                <w:rFonts w:cs="Arial"/>
                <w:color w:val="000000" w:themeColor="text1"/>
                <w:szCs w:val="16"/>
              </w:rPr>
            </w:pPr>
            <w:r w:rsidRPr="00781112">
              <w:rPr>
                <w:rFonts w:cs="Arial"/>
                <w:color w:val="000000" w:themeColor="text1"/>
                <w:szCs w:val="16"/>
              </w:rPr>
              <w:t>Grade HS</w:t>
            </w:r>
          </w:p>
        </w:tc>
        <w:tc>
          <w:tcPr>
            <w:tcW w:w="705" w:type="pct"/>
            <w:shd w:val="clear" w:color="auto" w:fill="auto"/>
            <w:vAlign w:val="center"/>
          </w:tcPr>
          <w:p w14:paraId="56DA6177" w14:textId="20AF4748" w:rsidR="00B14519" w:rsidRPr="00781112" w:rsidRDefault="00B14519" w:rsidP="00827FF4">
            <w:pPr>
              <w:jc w:val="center"/>
              <w:rPr>
                <w:rFonts w:cs="Arial"/>
                <w:color w:val="000000" w:themeColor="text1"/>
                <w:szCs w:val="16"/>
              </w:rPr>
            </w:pPr>
            <w:r w:rsidRPr="00781112">
              <w:rPr>
                <w:rFonts w:cs="Arial"/>
                <w:color w:val="000000" w:themeColor="text1"/>
                <w:szCs w:val="16"/>
              </w:rPr>
              <w:t>23.48</w:t>
            </w:r>
          </w:p>
        </w:tc>
        <w:tc>
          <w:tcPr>
            <w:tcW w:w="705" w:type="pct"/>
            <w:vAlign w:val="center"/>
          </w:tcPr>
          <w:p w14:paraId="12D9F716" w14:textId="7A56543C" w:rsidR="00B14519" w:rsidRPr="00781112" w:rsidRDefault="00B14519" w:rsidP="00827FF4">
            <w:pPr>
              <w:jc w:val="center"/>
              <w:rPr>
                <w:rFonts w:cs="Arial"/>
                <w:color w:val="000000" w:themeColor="text1"/>
                <w:szCs w:val="16"/>
              </w:rPr>
            </w:pPr>
            <w:r w:rsidRPr="00781112">
              <w:rPr>
                <w:rFonts w:cs="Arial"/>
                <w:color w:val="000000" w:themeColor="text1"/>
                <w:szCs w:val="16"/>
              </w:rPr>
              <w:t>22.48</w:t>
            </w:r>
          </w:p>
        </w:tc>
        <w:tc>
          <w:tcPr>
            <w:tcW w:w="705" w:type="pct"/>
            <w:vAlign w:val="center"/>
          </w:tcPr>
          <w:p w14:paraId="4EE8CD33" w14:textId="2A4DD9F9" w:rsidR="00B14519" w:rsidRPr="00781112" w:rsidRDefault="00B14519" w:rsidP="00827FF4">
            <w:pPr>
              <w:jc w:val="center"/>
              <w:rPr>
                <w:rFonts w:cs="Arial"/>
                <w:color w:val="000000" w:themeColor="text1"/>
                <w:szCs w:val="16"/>
              </w:rPr>
            </w:pPr>
            <w:r w:rsidRPr="00781112">
              <w:rPr>
                <w:rFonts w:cs="Arial"/>
                <w:color w:val="000000" w:themeColor="text1"/>
                <w:szCs w:val="16"/>
              </w:rPr>
              <w:t>21.48</w:t>
            </w:r>
          </w:p>
        </w:tc>
        <w:tc>
          <w:tcPr>
            <w:tcW w:w="705" w:type="pct"/>
            <w:vAlign w:val="center"/>
          </w:tcPr>
          <w:p w14:paraId="5414FEEF" w14:textId="05CDB931" w:rsidR="00B14519" w:rsidRPr="00781112" w:rsidRDefault="00B14519" w:rsidP="00827FF4">
            <w:pPr>
              <w:jc w:val="center"/>
              <w:rPr>
                <w:rFonts w:cs="Arial"/>
                <w:color w:val="000000" w:themeColor="text1"/>
                <w:szCs w:val="16"/>
              </w:rPr>
            </w:pPr>
            <w:r w:rsidRPr="00781112">
              <w:rPr>
                <w:rFonts w:cs="Arial"/>
                <w:color w:val="000000" w:themeColor="text1"/>
                <w:szCs w:val="16"/>
              </w:rPr>
              <w:t>20.48</w:t>
            </w:r>
          </w:p>
        </w:tc>
        <w:tc>
          <w:tcPr>
            <w:tcW w:w="705" w:type="pct"/>
            <w:vAlign w:val="center"/>
          </w:tcPr>
          <w:p w14:paraId="4484F5C2" w14:textId="609E66AA" w:rsidR="00B14519" w:rsidRPr="00781112" w:rsidRDefault="00B14519" w:rsidP="00827FF4">
            <w:pPr>
              <w:jc w:val="center"/>
              <w:rPr>
                <w:rFonts w:cs="Arial"/>
                <w:color w:val="000000" w:themeColor="text1"/>
                <w:szCs w:val="16"/>
              </w:rPr>
            </w:pPr>
            <w:r w:rsidRPr="00781112">
              <w:rPr>
                <w:rFonts w:cs="Arial"/>
                <w:color w:val="000000" w:themeColor="text1"/>
                <w:szCs w:val="16"/>
              </w:rPr>
              <w:t>19.48</w:t>
            </w:r>
          </w:p>
        </w:tc>
      </w:tr>
      <w:tr w:rsidR="00B14519" w:rsidRPr="00781112" w14:paraId="311AB0DD" w14:textId="77777777" w:rsidTr="00451D7E">
        <w:tc>
          <w:tcPr>
            <w:tcW w:w="473" w:type="pct"/>
            <w:shd w:val="clear" w:color="auto" w:fill="auto"/>
            <w:vAlign w:val="center"/>
          </w:tcPr>
          <w:p w14:paraId="3D2E0CB6"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14:paraId="2AAA6495"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A &lt;=</w:t>
            </w:r>
          </w:p>
        </w:tc>
        <w:tc>
          <w:tcPr>
            <w:tcW w:w="619" w:type="pct"/>
            <w:shd w:val="clear" w:color="auto" w:fill="auto"/>
            <w:vAlign w:val="center"/>
          </w:tcPr>
          <w:p w14:paraId="65E16006" w14:textId="0FBAD82F" w:rsidR="00B14519" w:rsidRPr="00781112" w:rsidDel="00DB0A73" w:rsidRDefault="00B14519" w:rsidP="00827FF4">
            <w:pPr>
              <w:jc w:val="center"/>
              <w:rPr>
                <w:rFonts w:cs="Arial"/>
                <w:color w:val="000000" w:themeColor="text1"/>
                <w:szCs w:val="16"/>
              </w:rPr>
            </w:pPr>
            <w:r w:rsidRPr="00781112">
              <w:rPr>
                <w:rFonts w:cs="Arial"/>
                <w:color w:val="000000" w:themeColor="text1"/>
                <w:szCs w:val="16"/>
              </w:rPr>
              <w:t>Grade 4</w:t>
            </w:r>
          </w:p>
        </w:tc>
        <w:tc>
          <w:tcPr>
            <w:tcW w:w="705" w:type="pct"/>
            <w:shd w:val="clear" w:color="auto" w:fill="auto"/>
            <w:vAlign w:val="center"/>
          </w:tcPr>
          <w:p w14:paraId="122DB35A" w14:textId="50E48575" w:rsidR="00B14519" w:rsidRPr="00781112" w:rsidRDefault="00B14519" w:rsidP="00827FF4">
            <w:pPr>
              <w:jc w:val="center"/>
              <w:rPr>
                <w:rFonts w:cs="Arial"/>
                <w:color w:val="000000" w:themeColor="text1"/>
                <w:szCs w:val="16"/>
              </w:rPr>
            </w:pPr>
            <w:r w:rsidRPr="00781112">
              <w:rPr>
                <w:rFonts w:cs="Arial"/>
                <w:color w:val="000000" w:themeColor="text1"/>
                <w:szCs w:val="16"/>
              </w:rPr>
              <w:t>15.55</w:t>
            </w:r>
          </w:p>
        </w:tc>
        <w:tc>
          <w:tcPr>
            <w:tcW w:w="705" w:type="pct"/>
            <w:vAlign w:val="center"/>
          </w:tcPr>
          <w:p w14:paraId="7E46501E" w14:textId="6CB1A41D" w:rsidR="00B14519" w:rsidRPr="00781112" w:rsidRDefault="00B14519" w:rsidP="00827FF4">
            <w:pPr>
              <w:jc w:val="center"/>
              <w:rPr>
                <w:rFonts w:cs="Arial"/>
                <w:color w:val="000000" w:themeColor="text1"/>
                <w:szCs w:val="16"/>
              </w:rPr>
            </w:pPr>
            <w:r w:rsidRPr="00781112">
              <w:rPr>
                <w:rFonts w:cs="Arial"/>
                <w:color w:val="000000" w:themeColor="text1"/>
                <w:szCs w:val="16"/>
              </w:rPr>
              <w:t>14.55</w:t>
            </w:r>
          </w:p>
        </w:tc>
        <w:tc>
          <w:tcPr>
            <w:tcW w:w="705" w:type="pct"/>
            <w:vAlign w:val="center"/>
          </w:tcPr>
          <w:p w14:paraId="6A7C9997" w14:textId="58A4736A" w:rsidR="00B14519" w:rsidRPr="00781112" w:rsidRDefault="00B14519" w:rsidP="00827FF4">
            <w:pPr>
              <w:jc w:val="center"/>
              <w:rPr>
                <w:rFonts w:cs="Arial"/>
                <w:color w:val="000000" w:themeColor="text1"/>
                <w:szCs w:val="16"/>
              </w:rPr>
            </w:pPr>
            <w:r w:rsidRPr="00781112">
              <w:rPr>
                <w:rFonts w:cs="Arial"/>
                <w:color w:val="000000" w:themeColor="text1"/>
                <w:szCs w:val="16"/>
              </w:rPr>
              <w:t>13.55</w:t>
            </w:r>
          </w:p>
        </w:tc>
        <w:tc>
          <w:tcPr>
            <w:tcW w:w="705" w:type="pct"/>
            <w:vAlign w:val="center"/>
          </w:tcPr>
          <w:p w14:paraId="491D1816" w14:textId="09E4A313" w:rsidR="00B14519" w:rsidRPr="00781112" w:rsidRDefault="00B14519" w:rsidP="00827FF4">
            <w:pPr>
              <w:jc w:val="center"/>
              <w:rPr>
                <w:rFonts w:cs="Arial"/>
                <w:color w:val="000000" w:themeColor="text1"/>
                <w:szCs w:val="16"/>
              </w:rPr>
            </w:pPr>
            <w:r w:rsidRPr="00781112">
              <w:rPr>
                <w:rFonts w:cs="Arial"/>
                <w:color w:val="000000" w:themeColor="text1"/>
                <w:szCs w:val="16"/>
              </w:rPr>
              <w:t>12.55</w:t>
            </w:r>
          </w:p>
        </w:tc>
        <w:tc>
          <w:tcPr>
            <w:tcW w:w="705" w:type="pct"/>
            <w:vAlign w:val="center"/>
          </w:tcPr>
          <w:p w14:paraId="7C31E2D9" w14:textId="6B280022" w:rsidR="00B14519" w:rsidRPr="00781112" w:rsidRDefault="00B14519" w:rsidP="00827FF4">
            <w:pPr>
              <w:jc w:val="center"/>
              <w:rPr>
                <w:rFonts w:cs="Arial"/>
                <w:color w:val="000000" w:themeColor="text1"/>
                <w:szCs w:val="16"/>
              </w:rPr>
            </w:pPr>
            <w:r w:rsidRPr="00781112">
              <w:rPr>
                <w:rFonts w:cs="Arial"/>
                <w:color w:val="000000" w:themeColor="text1"/>
                <w:szCs w:val="16"/>
              </w:rPr>
              <w:t>11.55</w:t>
            </w:r>
          </w:p>
        </w:tc>
      </w:tr>
      <w:tr w:rsidR="00B14519" w:rsidRPr="00781112" w14:paraId="1F14A6A0" w14:textId="77777777" w:rsidTr="00451D7E">
        <w:tc>
          <w:tcPr>
            <w:tcW w:w="473" w:type="pct"/>
            <w:shd w:val="clear" w:color="auto" w:fill="auto"/>
            <w:vAlign w:val="center"/>
          </w:tcPr>
          <w:p w14:paraId="67FFD637"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14:paraId="5CC9E434"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B &lt;=</w:t>
            </w:r>
          </w:p>
        </w:tc>
        <w:tc>
          <w:tcPr>
            <w:tcW w:w="619" w:type="pct"/>
            <w:shd w:val="clear" w:color="auto" w:fill="auto"/>
            <w:vAlign w:val="center"/>
          </w:tcPr>
          <w:p w14:paraId="48449221" w14:textId="1DE29BDC" w:rsidR="00B14519" w:rsidRPr="00781112" w:rsidDel="00DB0A73" w:rsidRDefault="00B14519" w:rsidP="00827FF4">
            <w:pPr>
              <w:jc w:val="center"/>
              <w:rPr>
                <w:rFonts w:cs="Arial"/>
                <w:color w:val="000000" w:themeColor="text1"/>
                <w:szCs w:val="16"/>
              </w:rPr>
            </w:pPr>
            <w:r w:rsidRPr="00781112">
              <w:rPr>
                <w:rFonts w:cs="Arial"/>
                <w:color w:val="000000" w:themeColor="text1"/>
                <w:szCs w:val="16"/>
              </w:rPr>
              <w:t>Grade 8</w:t>
            </w:r>
          </w:p>
        </w:tc>
        <w:tc>
          <w:tcPr>
            <w:tcW w:w="705" w:type="pct"/>
            <w:shd w:val="clear" w:color="auto" w:fill="auto"/>
            <w:vAlign w:val="center"/>
          </w:tcPr>
          <w:p w14:paraId="09A6E3C5" w14:textId="2E8BFD65" w:rsidR="00B14519" w:rsidRPr="00781112" w:rsidRDefault="00B14519" w:rsidP="00827FF4">
            <w:pPr>
              <w:jc w:val="center"/>
              <w:rPr>
                <w:rFonts w:cs="Arial"/>
                <w:color w:val="000000" w:themeColor="text1"/>
                <w:szCs w:val="16"/>
              </w:rPr>
            </w:pPr>
            <w:r w:rsidRPr="00781112">
              <w:rPr>
                <w:rFonts w:cs="Arial"/>
                <w:color w:val="000000" w:themeColor="text1"/>
                <w:szCs w:val="16"/>
              </w:rPr>
              <w:t>10.10</w:t>
            </w:r>
          </w:p>
        </w:tc>
        <w:tc>
          <w:tcPr>
            <w:tcW w:w="705" w:type="pct"/>
            <w:vAlign w:val="center"/>
          </w:tcPr>
          <w:p w14:paraId="627C9FA2" w14:textId="428379CE" w:rsidR="00B14519" w:rsidRPr="00781112" w:rsidRDefault="00B14519" w:rsidP="00827FF4">
            <w:pPr>
              <w:jc w:val="center"/>
              <w:rPr>
                <w:rFonts w:cs="Arial"/>
                <w:color w:val="000000" w:themeColor="text1"/>
                <w:szCs w:val="16"/>
              </w:rPr>
            </w:pPr>
            <w:r w:rsidRPr="00781112">
              <w:rPr>
                <w:rFonts w:cs="Arial"/>
                <w:color w:val="000000" w:themeColor="text1"/>
                <w:szCs w:val="16"/>
              </w:rPr>
              <w:t>9.10</w:t>
            </w:r>
          </w:p>
        </w:tc>
        <w:tc>
          <w:tcPr>
            <w:tcW w:w="705" w:type="pct"/>
            <w:vAlign w:val="center"/>
          </w:tcPr>
          <w:p w14:paraId="6204E3FD" w14:textId="081B5532" w:rsidR="00B14519" w:rsidRPr="00781112" w:rsidRDefault="00B14519" w:rsidP="00827FF4">
            <w:pPr>
              <w:jc w:val="center"/>
              <w:rPr>
                <w:rFonts w:cs="Arial"/>
                <w:color w:val="000000" w:themeColor="text1"/>
                <w:szCs w:val="16"/>
              </w:rPr>
            </w:pPr>
            <w:r w:rsidRPr="00781112">
              <w:rPr>
                <w:rFonts w:cs="Arial"/>
                <w:color w:val="000000" w:themeColor="text1"/>
                <w:szCs w:val="16"/>
              </w:rPr>
              <w:t>8.10</w:t>
            </w:r>
          </w:p>
        </w:tc>
        <w:tc>
          <w:tcPr>
            <w:tcW w:w="705" w:type="pct"/>
            <w:vAlign w:val="center"/>
          </w:tcPr>
          <w:p w14:paraId="70AB4E74" w14:textId="67486BA0" w:rsidR="00B14519" w:rsidRPr="00781112" w:rsidRDefault="00B14519" w:rsidP="00827FF4">
            <w:pPr>
              <w:jc w:val="center"/>
              <w:rPr>
                <w:rFonts w:cs="Arial"/>
                <w:color w:val="000000" w:themeColor="text1"/>
                <w:szCs w:val="16"/>
              </w:rPr>
            </w:pPr>
            <w:r w:rsidRPr="00781112">
              <w:rPr>
                <w:rFonts w:cs="Arial"/>
                <w:color w:val="000000" w:themeColor="text1"/>
                <w:szCs w:val="16"/>
              </w:rPr>
              <w:t>7.10</w:t>
            </w:r>
          </w:p>
        </w:tc>
        <w:tc>
          <w:tcPr>
            <w:tcW w:w="705" w:type="pct"/>
            <w:vAlign w:val="center"/>
          </w:tcPr>
          <w:p w14:paraId="76EDA768" w14:textId="58627E7B" w:rsidR="00B14519" w:rsidRPr="00781112" w:rsidRDefault="00B14519" w:rsidP="00827FF4">
            <w:pPr>
              <w:jc w:val="center"/>
              <w:rPr>
                <w:rFonts w:cs="Arial"/>
                <w:color w:val="000000" w:themeColor="text1"/>
                <w:szCs w:val="16"/>
              </w:rPr>
            </w:pPr>
            <w:r w:rsidRPr="00781112">
              <w:rPr>
                <w:rFonts w:cs="Arial"/>
                <w:color w:val="000000" w:themeColor="text1"/>
                <w:szCs w:val="16"/>
              </w:rPr>
              <w:t>6.10</w:t>
            </w:r>
          </w:p>
        </w:tc>
      </w:tr>
      <w:tr w:rsidR="00B14519" w:rsidRPr="00781112" w14:paraId="60CD7006" w14:textId="77777777" w:rsidTr="00451D7E">
        <w:tc>
          <w:tcPr>
            <w:tcW w:w="473" w:type="pct"/>
            <w:shd w:val="clear" w:color="auto" w:fill="auto"/>
            <w:vAlign w:val="center"/>
          </w:tcPr>
          <w:p w14:paraId="76491141"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14:paraId="6C27CF3D"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C &lt;=</w:t>
            </w:r>
          </w:p>
        </w:tc>
        <w:tc>
          <w:tcPr>
            <w:tcW w:w="619" w:type="pct"/>
            <w:shd w:val="clear" w:color="auto" w:fill="auto"/>
            <w:vAlign w:val="center"/>
          </w:tcPr>
          <w:p w14:paraId="4E465544" w14:textId="4F893AB5" w:rsidR="00B14519" w:rsidRPr="00781112" w:rsidDel="00DB0A73" w:rsidRDefault="00B14519" w:rsidP="00827FF4">
            <w:pPr>
              <w:jc w:val="center"/>
              <w:rPr>
                <w:rFonts w:cs="Arial"/>
                <w:color w:val="000000" w:themeColor="text1"/>
                <w:szCs w:val="16"/>
              </w:rPr>
            </w:pPr>
            <w:r w:rsidRPr="00781112">
              <w:rPr>
                <w:rFonts w:cs="Arial"/>
                <w:color w:val="000000" w:themeColor="text1"/>
                <w:szCs w:val="16"/>
              </w:rPr>
              <w:t>Grade HS</w:t>
            </w:r>
          </w:p>
        </w:tc>
        <w:tc>
          <w:tcPr>
            <w:tcW w:w="705" w:type="pct"/>
            <w:shd w:val="clear" w:color="auto" w:fill="auto"/>
            <w:vAlign w:val="center"/>
          </w:tcPr>
          <w:p w14:paraId="7B41E026" w14:textId="6E6F2C10" w:rsidR="00B14519" w:rsidRPr="00781112" w:rsidRDefault="00B14519" w:rsidP="00827FF4">
            <w:pPr>
              <w:jc w:val="center"/>
              <w:rPr>
                <w:rFonts w:cs="Arial"/>
                <w:color w:val="000000" w:themeColor="text1"/>
                <w:szCs w:val="16"/>
              </w:rPr>
            </w:pPr>
            <w:r w:rsidRPr="00781112">
              <w:rPr>
                <w:rFonts w:cs="Arial"/>
                <w:color w:val="000000" w:themeColor="text1"/>
                <w:szCs w:val="16"/>
              </w:rPr>
              <w:t>15.66</w:t>
            </w:r>
          </w:p>
        </w:tc>
        <w:tc>
          <w:tcPr>
            <w:tcW w:w="705" w:type="pct"/>
            <w:vAlign w:val="center"/>
          </w:tcPr>
          <w:p w14:paraId="294118D4" w14:textId="54195603" w:rsidR="00B14519" w:rsidRPr="00781112" w:rsidRDefault="00B14519" w:rsidP="00827FF4">
            <w:pPr>
              <w:jc w:val="center"/>
              <w:rPr>
                <w:rFonts w:cs="Arial"/>
                <w:color w:val="000000" w:themeColor="text1"/>
                <w:szCs w:val="16"/>
              </w:rPr>
            </w:pPr>
            <w:r w:rsidRPr="00781112">
              <w:rPr>
                <w:rFonts w:cs="Arial"/>
                <w:color w:val="000000" w:themeColor="text1"/>
                <w:szCs w:val="16"/>
              </w:rPr>
              <w:t>14.66</w:t>
            </w:r>
          </w:p>
        </w:tc>
        <w:tc>
          <w:tcPr>
            <w:tcW w:w="705" w:type="pct"/>
            <w:vAlign w:val="center"/>
          </w:tcPr>
          <w:p w14:paraId="41623CC8" w14:textId="4F75F535" w:rsidR="00B14519" w:rsidRPr="00781112" w:rsidRDefault="00B14519" w:rsidP="00827FF4">
            <w:pPr>
              <w:jc w:val="center"/>
              <w:rPr>
                <w:rFonts w:cs="Arial"/>
                <w:color w:val="000000" w:themeColor="text1"/>
                <w:szCs w:val="16"/>
              </w:rPr>
            </w:pPr>
            <w:r w:rsidRPr="00781112">
              <w:rPr>
                <w:rFonts w:cs="Arial"/>
                <w:color w:val="000000" w:themeColor="text1"/>
                <w:szCs w:val="16"/>
              </w:rPr>
              <w:t>13.66</w:t>
            </w:r>
          </w:p>
        </w:tc>
        <w:tc>
          <w:tcPr>
            <w:tcW w:w="705" w:type="pct"/>
            <w:vAlign w:val="center"/>
          </w:tcPr>
          <w:p w14:paraId="70C28E3C" w14:textId="4F91601C" w:rsidR="00B14519" w:rsidRPr="00781112" w:rsidRDefault="00B14519" w:rsidP="00827FF4">
            <w:pPr>
              <w:jc w:val="center"/>
              <w:rPr>
                <w:rFonts w:cs="Arial"/>
                <w:color w:val="000000" w:themeColor="text1"/>
                <w:szCs w:val="16"/>
              </w:rPr>
            </w:pPr>
            <w:r w:rsidRPr="00781112">
              <w:rPr>
                <w:rFonts w:cs="Arial"/>
                <w:color w:val="000000" w:themeColor="text1"/>
                <w:szCs w:val="16"/>
              </w:rPr>
              <w:t>12.66</w:t>
            </w:r>
          </w:p>
        </w:tc>
        <w:tc>
          <w:tcPr>
            <w:tcW w:w="705" w:type="pct"/>
            <w:vAlign w:val="center"/>
          </w:tcPr>
          <w:p w14:paraId="72D77BDF" w14:textId="662A73D4" w:rsidR="00B14519" w:rsidRPr="00781112" w:rsidRDefault="00B14519" w:rsidP="00827FF4">
            <w:pPr>
              <w:jc w:val="center"/>
              <w:rPr>
                <w:rFonts w:cs="Arial"/>
                <w:color w:val="000000" w:themeColor="text1"/>
                <w:szCs w:val="16"/>
              </w:rPr>
            </w:pPr>
            <w:r w:rsidRPr="00781112">
              <w:rPr>
                <w:rFonts w:cs="Arial"/>
                <w:color w:val="000000" w:themeColor="text1"/>
                <w:szCs w:val="16"/>
              </w:rPr>
              <w:t>11.66</w:t>
            </w:r>
          </w:p>
        </w:tc>
      </w:tr>
    </w:tbl>
    <w:p w14:paraId="05E796DD" w14:textId="77777777" w:rsidR="00DD5B7A" w:rsidRPr="00781112" w:rsidRDefault="00DD5B7A" w:rsidP="00DD5B7A">
      <w:pPr>
        <w:rPr>
          <w:b/>
          <w:color w:val="000000" w:themeColor="text1"/>
        </w:rPr>
      </w:pPr>
    </w:p>
    <w:p w14:paraId="209349EB"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1A8E431E" w14:textId="45368C9A" w:rsidR="00DD5B7A" w:rsidRPr="00781112" w:rsidRDefault="00DD5B7A" w:rsidP="00DD5B7A">
      <w:pPr>
        <w:rPr>
          <w:rFonts w:cs="Arial"/>
          <w:color w:val="000000" w:themeColor="text1"/>
          <w:szCs w:val="16"/>
        </w:rPr>
      </w:pPr>
    </w:p>
    <w:p w14:paraId="5EB19DE7" w14:textId="77777777" w:rsidR="00DD5B7A" w:rsidRPr="00781112" w:rsidRDefault="00DD5B7A" w:rsidP="00DD5B7A">
      <w:pPr>
        <w:spacing w:before="0" w:after="200" w:line="276" w:lineRule="auto"/>
        <w:rPr>
          <w:b/>
          <w:color w:val="000000" w:themeColor="text1"/>
        </w:rPr>
      </w:pPr>
    </w:p>
    <w:p w14:paraId="5F03961C" w14:textId="6F5CB644" w:rsidR="00DD5B7A" w:rsidRPr="00781112" w:rsidRDefault="00FA33C9" w:rsidP="00DD5B7A">
      <w:pPr>
        <w:rPr>
          <w:b/>
          <w:color w:val="000000" w:themeColor="text1"/>
        </w:rPr>
      </w:pPr>
      <w:r>
        <w:rPr>
          <w:b/>
          <w:color w:val="000000" w:themeColor="text1"/>
        </w:rPr>
        <w:t>FFY 2021 Data Disaggregation from EDFacts</w:t>
      </w:r>
    </w:p>
    <w:p w14:paraId="27A29F4B"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24C5C209" w14:textId="7C8C8769" w:rsidR="00DD5B7A" w:rsidRPr="00781112" w:rsidRDefault="00DD5B7A" w:rsidP="00DD5B7A">
      <w:pPr>
        <w:rPr>
          <w:rFonts w:cs="Arial"/>
          <w:color w:val="000000" w:themeColor="text1"/>
          <w:szCs w:val="16"/>
        </w:rPr>
      </w:pPr>
      <w:r w:rsidRPr="00781112">
        <w:rPr>
          <w:rFonts w:cs="Arial"/>
          <w:color w:val="000000" w:themeColor="text1"/>
          <w:szCs w:val="16"/>
        </w:rPr>
        <w:t>SY 2021-22 Assessment Data Groups - Reading (EDFacts file spec FS178; Data Group: 584)</w:t>
      </w:r>
    </w:p>
    <w:p w14:paraId="51B1992D" w14:textId="77777777" w:rsidR="00DD5B7A" w:rsidRPr="00781112" w:rsidRDefault="00DD5B7A" w:rsidP="00DD5B7A">
      <w:pPr>
        <w:rPr>
          <w:rFonts w:cs="Arial"/>
          <w:b/>
          <w:color w:val="000000" w:themeColor="text1"/>
          <w:szCs w:val="16"/>
        </w:rPr>
      </w:pPr>
      <w:r w:rsidRPr="00781112">
        <w:rPr>
          <w:rFonts w:cs="Arial"/>
          <w:b/>
          <w:color w:val="000000" w:themeColor="text1"/>
          <w:szCs w:val="16"/>
        </w:rPr>
        <w:lastRenderedPageBreak/>
        <w:t xml:space="preserve">Date: </w:t>
      </w:r>
    </w:p>
    <w:p w14:paraId="254E3F3F" w14:textId="7BE38E1B" w:rsidR="00DD5B7A" w:rsidRPr="00781112" w:rsidRDefault="00DD5B7A" w:rsidP="00DD5B7A">
      <w:pPr>
        <w:rPr>
          <w:rFonts w:cs="Arial"/>
          <w:color w:val="000000" w:themeColor="text1"/>
          <w:szCs w:val="16"/>
        </w:rPr>
      </w:pPr>
      <w:r w:rsidRPr="00781112">
        <w:rPr>
          <w:rFonts w:cs="Arial"/>
          <w:color w:val="000000" w:themeColor="text1"/>
          <w:szCs w:val="16"/>
        </w:rPr>
        <w:t>04/05/2023</w:t>
      </w:r>
    </w:p>
    <w:p w14:paraId="45DD1CF1" w14:textId="21DE530C" w:rsidR="00DD5B7A" w:rsidRPr="00781112" w:rsidRDefault="00DD5B7A" w:rsidP="00DD5B7A">
      <w:pPr>
        <w:rPr>
          <w:b/>
          <w:color w:val="000000" w:themeColor="text1"/>
        </w:rPr>
      </w:pPr>
      <w:r w:rsidRPr="00781112">
        <w:rPr>
          <w:b/>
          <w:color w:val="000000" w:themeColor="text1"/>
        </w:rPr>
        <w:t>Reading Assessment Proficiency Data by Grade</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6DA55728" w14:textId="77777777" w:rsidTr="00E95FBF">
        <w:tc>
          <w:tcPr>
            <w:tcW w:w="1749" w:type="pct"/>
            <w:shd w:val="clear" w:color="auto" w:fill="auto"/>
          </w:tcPr>
          <w:p w14:paraId="4EAC2736" w14:textId="6924CA80"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691E68" w14:textId="255E6CD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shd w:val="clear" w:color="auto" w:fill="auto"/>
            <w:vAlign w:val="center"/>
          </w:tcPr>
          <w:p w14:paraId="04C042D1" w14:textId="5F31110D"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5ED006E5" w14:textId="47B87CA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37D772D8" w14:textId="77777777" w:rsidTr="00E95FBF">
        <w:tc>
          <w:tcPr>
            <w:tcW w:w="1749" w:type="pct"/>
            <w:shd w:val="clear" w:color="auto" w:fill="auto"/>
          </w:tcPr>
          <w:p w14:paraId="7B0D7CCF" w14:textId="33D6DF72"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4F7A04F6" w14:textId="19D267DA" w:rsidR="002D3EE6" w:rsidRPr="00781112" w:rsidRDefault="002D3EE6" w:rsidP="002D3EE6">
            <w:pPr>
              <w:jc w:val="center"/>
              <w:rPr>
                <w:rFonts w:cs="Arial"/>
                <w:color w:val="000000" w:themeColor="text1"/>
                <w:szCs w:val="16"/>
              </w:rPr>
            </w:pPr>
            <w:r w:rsidRPr="00781112">
              <w:rPr>
                <w:rFonts w:cs="Arial"/>
                <w:color w:val="000000" w:themeColor="text1"/>
                <w:szCs w:val="16"/>
              </w:rPr>
              <w:t>48,553</w:t>
            </w:r>
          </w:p>
        </w:tc>
        <w:tc>
          <w:tcPr>
            <w:tcW w:w="1084" w:type="pct"/>
            <w:shd w:val="clear" w:color="auto" w:fill="auto"/>
            <w:vAlign w:val="center"/>
          </w:tcPr>
          <w:p w14:paraId="171D43A3" w14:textId="2BAB5EF8" w:rsidR="002D3EE6" w:rsidRPr="00781112" w:rsidRDefault="002D3EE6" w:rsidP="002D3EE6">
            <w:pPr>
              <w:jc w:val="center"/>
              <w:rPr>
                <w:rFonts w:cs="Arial"/>
                <w:color w:val="000000" w:themeColor="text1"/>
                <w:szCs w:val="16"/>
              </w:rPr>
            </w:pPr>
            <w:r w:rsidRPr="00781112">
              <w:rPr>
                <w:rFonts w:cs="Arial"/>
                <w:color w:val="000000" w:themeColor="text1"/>
                <w:szCs w:val="16"/>
              </w:rPr>
              <w:t>51,346</w:t>
            </w:r>
          </w:p>
        </w:tc>
        <w:tc>
          <w:tcPr>
            <w:tcW w:w="1084" w:type="pct"/>
            <w:shd w:val="clear" w:color="auto" w:fill="auto"/>
            <w:vAlign w:val="center"/>
          </w:tcPr>
          <w:p w14:paraId="58B877C4" w14:textId="55D5291F" w:rsidR="002D3EE6" w:rsidRPr="00781112" w:rsidRDefault="002D3EE6" w:rsidP="002D3EE6">
            <w:pPr>
              <w:jc w:val="center"/>
              <w:rPr>
                <w:rFonts w:cs="Arial"/>
                <w:color w:val="000000" w:themeColor="text1"/>
                <w:szCs w:val="16"/>
              </w:rPr>
            </w:pPr>
            <w:r w:rsidRPr="00781112">
              <w:rPr>
                <w:rFonts w:cs="Arial"/>
                <w:color w:val="000000" w:themeColor="text1"/>
                <w:szCs w:val="16"/>
              </w:rPr>
              <w:t>45,095</w:t>
            </w:r>
          </w:p>
        </w:tc>
      </w:tr>
      <w:tr w:rsidR="002D3EE6" w:rsidRPr="00781112" w14:paraId="6D2048AF" w14:textId="77777777" w:rsidTr="00E95FBF">
        <w:tc>
          <w:tcPr>
            <w:tcW w:w="1749" w:type="pct"/>
            <w:shd w:val="clear" w:color="auto" w:fill="auto"/>
          </w:tcPr>
          <w:p w14:paraId="5F5D9DBC" w14:textId="3AB6D57C"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25792A43" w14:textId="636F508C" w:rsidR="002D3EE6" w:rsidRPr="00781112" w:rsidRDefault="002D3EE6" w:rsidP="002D3EE6">
            <w:pPr>
              <w:jc w:val="center"/>
              <w:rPr>
                <w:rFonts w:cs="Arial"/>
                <w:color w:val="000000" w:themeColor="text1"/>
                <w:szCs w:val="16"/>
              </w:rPr>
            </w:pPr>
            <w:r w:rsidRPr="00781112">
              <w:rPr>
                <w:rFonts w:cs="Arial"/>
                <w:color w:val="000000" w:themeColor="text1"/>
                <w:szCs w:val="16"/>
              </w:rPr>
              <w:t>9,059</w:t>
            </w:r>
          </w:p>
        </w:tc>
        <w:tc>
          <w:tcPr>
            <w:tcW w:w="1084" w:type="pct"/>
            <w:shd w:val="clear" w:color="auto" w:fill="auto"/>
            <w:vAlign w:val="center"/>
          </w:tcPr>
          <w:p w14:paraId="34571492" w14:textId="6F3F5797" w:rsidR="002D3EE6" w:rsidRPr="00781112" w:rsidRDefault="002D3EE6" w:rsidP="002D3EE6">
            <w:pPr>
              <w:jc w:val="center"/>
              <w:rPr>
                <w:rFonts w:cs="Arial"/>
                <w:color w:val="000000" w:themeColor="text1"/>
                <w:szCs w:val="16"/>
              </w:rPr>
            </w:pPr>
            <w:r w:rsidRPr="00781112">
              <w:rPr>
                <w:rFonts w:cs="Arial"/>
                <w:color w:val="000000" w:themeColor="text1"/>
                <w:szCs w:val="16"/>
              </w:rPr>
              <w:t>8,168</w:t>
            </w:r>
          </w:p>
        </w:tc>
        <w:tc>
          <w:tcPr>
            <w:tcW w:w="1084" w:type="pct"/>
            <w:shd w:val="clear" w:color="auto" w:fill="auto"/>
            <w:vAlign w:val="center"/>
          </w:tcPr>
          <w:p w14:paraId="0BBD02C7" w14:textId="42EBBF14" w:rsidR="002D3EE6" w:rsidRPr="00781112" w:rsidRDefault="002D3EE6" w:rsidP="002D3EE6">
            <w:pPr>
              <w:jc w:val="center"/>
              <w:rPr>
                <w:rFonts w:cs="Arial"/>
                <w:color w:val="000000" w:themeColor="text1"/>
                <w:szCs w:val="16"/>
              </w:rPr>
            </w:pPr>
            <w:r w:rsidRPr="00781112">
              <w:rPr>
                <w:rFonts w:cs="Arial"/>
                <w:color w:val="000000" w:themeColor="text1"/>
                <w:szCs w:val="16"/>
              </w:rPr>
              <w:t>6,009</w:t>
            </w:r>
          </w:p>
        </w:tc>
      </w:tr>
      <w:tr w:rsidR="002D3EE6" w:rsidRPr="00781112" w14:paraId="62D84F5E" w14:textId="77777777" w:rsidTr="00E95FBF">
        <w:tc>
          <w:tcPr>
            <w:tcW w:w="1749" w:type="pct"/>
            <w:shd w:val="clear" w:color="auto" w:fill="auto"/>
          </w:tcPr>
          <w:p w14:paraId="51DEDF27" w14:textId="69ADBF80" w:rsidR="002D3EE6" w:rsidRPr="00181070" w:rsidRDefault="002D3EE6" w:rsidP="002D3EE6">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6E23C4D0" w14:textId="690E483E" w:rsidR="002D3EE6" w:rsidRPr="00781112" w:rsidRDefault="002D3EE6" w:rsidP="002D3EE6">
            <w:pPr>
              <w:jc w:val="center"/>
              <w:rPr>
                <w:rFonts w:cs="Arial"/>
                <w:color w:val="000000" w:themeColor="text1"/>
                <w:szCs w:val="16"/>
              </w:rPr>
            </w:pPr>
            <w:r w:rsidRPr="00781112">
              <w:rPr>
                <w:rFonts w:cs="Arial"/>
                <w:color w:val="000000" w:themeColor="text1"/>
                <w:szCs w:val="16"/>
              </w:rPr>
              <w:t>11,247</w:t>
            </w:r>
          </w:p>
        </w:tc>
        <w:tc>
          <w:tcPr>
            <w:tcW w:w="1084" w:type="pct"/>
            <w:shd w:val="clear" w:color="auto" w:fill="auto"/>
            <w:vAlign w:val="center"/>
          </w:tcPr>
          <w:p w14:paraId="6D42641C" w14:textId="63F65487" w:rsidR="002D3EE6" w:rsidRPr="00781112" w:rsidRDefault="002D3EE6" w:rsidP="002D3EE6">
            <w:pPr>
              <w:jc w:val="center"/>
              <w:rPr>
                <w:rFonts w:cs="Arial"/>
                <w:color w:val="000000" w:themeColor="text1"/>
                <w:szCs w:val="16"/>
              </w:rPr>
            </w:pPr>
            <w:r w:rsidRPr="00781112">
              <w:rPr>
                <w:rFonts w:cs="Arial"/>
                <w:color w:val="000000" w:themeColor="text1"/>
                <w:szCs w:val="16"/>
              </w:rPr>
              <w:t>12,582</w:t>
            </w:r>
          </w:p>
        </w:tc>
        <w:tc>
          <w:tcPr>
            <w:tcW w:w="1084" w:type="pct"/>
            <w:shd w:val="clear" w:color="auto" w:fill="auto"/>
            <w:vAlign w:val="center"/>
          </w:tcPr>
          <w:p w14:paraId="27076C73" w14:textId="7C15AF5B" w:rsidR="002D3EE6" w:rsidRPr="00781112" w:rsidRDefault="002D3EE6" w:rsidP="002D3EE6">
            <w:pPr>
              <w:jc w:val="center"/>
              <w:rPr>
                <w:rFonts w:cs="Arial"/>
                <w:color w:val="000000" w:themeColor="text1"/>
                <w:szCs w:val="16"/>
              </w:rPr>
            </w:pPr>
            <w:r w:rsidRPr="00781112">
              <w:rPr>
                <w:rFonts w:cs="Arial"/>
                <w:color w:val="000000" w:themeColor="text1"/>
                <w:szCs w:val="16"/>
              </w:rPr>
              <w:t>16,643</w:t>
            </w:r>
          </w:p>
        </w:tc>
      </w:tr>
      <w:tr w:rsidR="002D3EE6" w:rsidRPr="00781112" w14:paraId="058A4E65" w14:textId="77777777" w:rsidTr="00E95FBF">
        <w:tc>
          <w:tcPr>
            <w:tcW w:w="1749" w:type="pct"/>
            <w:shd w:val="clear" w:color="auto" w:fill="auto"/>
          </w:tcPr>
          <w:p w14:paraId="439EF49E" w14:textId="1EC71838"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441B205F" w14:textId="66F540F9" w:rsidR="002D3EE6" w:rsidRPr="00781112" w:rsidRDefault="002D3EE6" w:rsidP="002D3EE6">
            <w:pPr>
              <w:jc w:val="center"/>
              <w:rPr>
                <w:rFonts w:cs="Arial"/>
                <w:color w:val="000000" w:themeColor="text1"/>
                <w:szCs w:val="16"/>
              </w:rPr>
            </w:pPr>
            <w:r w:rsidRPr="00781112">
              <w:rPr>
                <w:rFonts w:cs="Arial"/>
                <w:color w:val="000000" w:themeColor="text1"/>
                <w:szCs w:val="16"/>
              </w:rPr>
              <w:t>173</w:t>
            </w:r>
          </w:p>
        </w:tc>
        <w:tc>
          <w:tcPr>
            <w:tcW w:w="1084" w:type="pct"/>
            <w:shd w:val="clear" w:color="auto" w:fill="auto"/>
            <w:vAlign w:val="center"/>
          </w:tcPr>
          <w:p w14:paraId="5FB5C795" w14:textId="69CA87AA" w:rsidR="002D3EE6" w:rsidRPr="00781112" w:rsidRDefault="002D3EE6" w:rsidP="002D3EE6">
            <w:pPr>
              <w:jc w:val="center"/>
              <w:rPr>
                <w:rFonts w:cs="Arial"/>
                <w:color w:val="000000" w:themeColor="text1"/>
                <w:szCs w:val="16"/>
              </w:rPr>
            </w:pPr>
            <w:r w:rsidRPr="00781112">
              <w:rPr>
                <w:rFonts w:cs="Arial"/>
                <w:color w:val="000000" w:themeColor="text1"/>
                <w:szCs w:val="16"/>
              </w:rPr>
              <w:t>216</w:t>
            </w:r>
          </w:p>
        </w:tc>
        <w:tc>
          <w:tcPr>
            <w:tcW w:w="1084" w:type="pct"/>
            <w:shd w:val="clear" w:color="auto" w:fill="auto"/>
            <w:vAlign w:val="center"/>
          </w:tcPr>
          <w:p w14:paraId="5BB68E9F" w14:textId="19C38497" w:rsidR="002D3EE6" w:rsidRPr="00781112" w:rsidRDefault="002D3EE6" w:rsidP="002D3EE6">
            <w:pPr>
              <w:jc w:val="center"/>
              <w:rPr>
                <w:rFonts w:cs="Arial"/>
                <w:color w:val="000000" w:themeColor="text1"/>
                <w:szCs w:val="16"/>
              </w:rPr>
            </w:pPr>
            <w:r w:rsidRPr="00781112">
              <w:rPr>
                <w:rFonts w:cs="Arial"/>
                <w:color w:val="000000" w:themeColor="text1"/>
                <w:szCs w:val="16"/>
              </w:rPr>
              <w:t>667</w:t>
            </w:r>
          </w:p>
        </w:tc>
      </w:tr>
      <w:tr w:rsidR="002D3EE6" w:rsidRPr="00781112" w14:paraId="1AC72B75" w14:textId="77777777" w:rsidTr="00E95FBF">
        <w:tc>
          <w:tcPr>
            <w:tcW w:w="1749" w:type="pct"/>
            <w:shd w:val="clear" w:color="auto" w:fill="auto"/>
          </w:tcPr>
          <w:p w14:paraId="0A914ADA" w14:textId="357C6FCD" w:rsidR="002D3EE6" w:rsidRPr="00781112" w:rsidRDefault="002D3EE6" w:rsidP="002D3EE6">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02F1489E" w14:textId="43AB7E92" w:rsidR="002D3EE6" w:rsidRPr="00781112" w:rsidRDefault="002D3EE6" w:rsidP="002D3EE6">
            <w:pPr>
              <w:jc w:val="center"/>
              <w:rPr>
                <w:rFonts w:cs="Arial"/>
                <w:color w:val="000000" w:themeColor="text1"/>
                <w:szCs w:val="16"/>
              </w:rPr>
            </w:pPr>
            <w:r w:rsidRPr="00781112">
              <w:rPr>
                <w:rFonts w:cs="Arial"/>
                <w:color w:val="000000" w:themeColor="text1"/>
                <w:szCs w:val="16"/>
              </w:rPr>
              <w:t>545</w:t>
            </w:r>
          </w:p>
        </w:tc>
        <w:tc>
          <w:tcPr>
            <w:tcW w:w="1084" w:type="pct"/>
            <w:shd w:val="clear" w:color="auto" w:fill="auto"/>
            <w:vAlign w:val="center"/>
          </w:tcPr>
          <w:p w14:paraId="7D7B8A72" w14:textId="5C0EA0B0" w:rsidR="002D3EE6" w:rsidRPr="00781112" w:rsidRDefault="002D3EE6" w:rsidP="002D3EE6">
            <w:pPr>
              <w:jc w:val="center"/>
              <w:rPr>
                <w:rFonts w:cs="Arial"/>
                <w:color w:val="000000" w:themeColor="text1"/>
                <w:szCs w:val="16"/>
              </w:rPr>
            </w:pPr>
            <w:r w:rsidRPr="00781112">
              <w:rPr>
                <w:rFonts w:cs="Arial"/>
                <w:color w:val="000000" w:themeColor="text1"/>
                <w:szCs w:val="16"/>
              </w:rPr>
              <w:t>186</w:t>
            </w:r>
          </w:p>
        </w:tc>
        <w:tc>
          <w:tcPr>
            <w:tcW w:w="1084" w:type="pct"/>
            <w:shd w:val="clear" w:color="auto" w:fill="auto"/>
            <w:vAlign w:val="center"/>
          </w:tcPr>
          <w:p w14:paraId="077B2856" w14:textId="4059237F" w:rsidR="002D3EE6" w:rsidRPr="00781112" w:rsidRDefault="002D3EE6" w:rsidP="002D3EE6">
            <w:pPr>
              <w:jc w:val="center"/>
              <w:rPr>
                <w:rFonts w:cs="Arial"/>
                <w:color w:val="000000" w:themeColor="text1"/>
                <w:szCs w:val="16"/>
              </w:rPr>
            </w:pPr>
            <w:r w:rsidRPr="00781112">
              <w:rPr>
                <w:rFonts w:cs="Arial"/>
                <w:color w:val="000000" w:themeColor="text1"/>
                <w:szCs w:val="16"/>
              </w:rPr>
              <w:t>246</w:t>
            </w:r>
          </w:p>
        </w:tc>
      </w:tr>
      <w:tr w:rsidR="002D3EE6" w:rsidRPr="00781112" w14:paraId="0F3AF372" w14:textId="77777777" w:rsidTr="00E95FBF">
        <w:tc>
          <w:tcPr>
            <w:tcW w:w="1749" w:type="pct"/>
            <w:shd w:val="clear" w:color="auto" w:fill="auto"/>
          </w:tcPr>
          <w:p w14:paraId="65DAF487" w14:textId="01D9D6A1" w:rsidR="002D3EE6" w:rsidRPr="00781112" w:rsidRDefault="002D3EE6" w:rsidP="002D3EE6">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1BE3D4C2" w14:textId="5B4F526A" w:rsidR="002D3EE6" w:rsidRPr="00781112" w:rsidRDefault="002D3EE6" w:rsidP="002D3EE6">
            <w:pPr>
              <w:jc w:val="center"/>
              <w:rPr>
                <w:rFonts w:cs="Arial"/>
                <w:color w:val="000000" w:themeColor="text1"/>
                <w:szCs w:val="16"/>
              </w:rPr>
            </w:pPr>
            <w:r w:rsidRPr="00781112">
              <w:rPr>
                <w:rFonts w:cs="Arial"/>
                <w:color w:val="000000" w:themeColor="text1"/>
                <w:szCs w:val="16"/>
              </w:rPr>
              <w:t>173</w:t>
            </w:r>
          </w:p>
        </w:tc>
        <w:tc>
          <w:tcPr>
            <w:tcW w:w="1084" w:type="pct"/>
            <w:shd w:val="clear" w:color="auto" w:fill="auto"/>
            <w:vAlign w:val="center"/>
          </w:tcPr>
          <w:p w14:paraId="0E65D7AB" w14:textId="79D914F6" w:rsidR="002D3EE6" w:rsidRPr="00781112" w:rsidRDefault="002D3EE6" w:rsidP="002D3EE6">
            <w:pPr>
              <w:jc w:val="center"/>
              <w:rPr>
                <w:rFonts w:cs="Arial"/>
                <w:color w:val="000000" w:themeColor="text1"/>
                <w:szCs w:val="16"/>
              </w:rPr>
            </w:pPr>
            <w:r w:rsidRPr="00781112">
              <w:rPr>
                <w:rFonts w:cs="Arial"/>
                <w:color w:val="000000" w:themeColor="text1"/>
                <w:szCs w:val="16"/>
              </w:rPr>
              <w:t>216</w:t>
            </w:r>
          </w:p>
        </w:tc>
        <w:tc>
          <w:tcPr>
            <w:tcW w:w="1084" w:type="pct"/>
            <w:shd w:val="clear" w:color="auto" w:fill="auto"/>
            <w:vAlign w:val="center"/>
          </w:tcPr>
          <w:p w14:paraId="740F6FA5" w14:textId="70059958" w:rsidR="002D3EE6" w:rsidRPr="00781112" w:rsidRDefault="002D3EE6" w:rsidP="002D3EE6">
            <w:pPr>
              <w:jc w:val="center"/>
              <w:rPr>
                <w:rFonts w:cs="Arial"/>
                <w:color w:val="000000" w:themeColor="text1"/>
                <w:szCs w:val="16"/>
              </w:rPr>
            </w:pPr>
            <w:r w:rsidRPr="00781112">
              <w:rPr>
                <w:rFonts w:cs="Arial"/>
                <w:color w:val="000000" w:themeColor="text1"/>
                <w:szCs w:val="16"/>
              </w:rPr>
              <w:t>307</w:t>
            </w:r>
          </w:p>
        </w:tc>
      </w:tr>
    </w:tbl>
    <w:p w14:paraId="639A2278" w14:textId="77777777" w:rsidR="00DD5B7A" w:rsidRPr="00781112" w:rsidRDefault="00DD5B7A" w:rsidP="00DD5B7A">
      <w:pPr>
        <w:rPr>
          <w:b/>
          <w:color w:val="000000" w:themeColor="text1"/>
        </w:rPr>
      </w:pPr>
    </w:p>
    <w:p w14:paraId="2B294F6E"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6AD8EFC6" w14:textId="22529744" w:rsidR="00DD5B7A" w:rsidRPr="00781112" w:rsidRDefault="00DD5B7A" w:rsidP="00DD5B7A">
      <w:pPr>
        <w:rPr>
          <w:rFonts w:cs="Arial"/>
          <w:color w:val="000000" w:themeColor="text1"/>
          <w:szCs w:val="16"/>
        </w:rPr>
      </w:pPr>
      <w:r w:rsidRPr="00781112">
        <w:rPr>
          <w:rFonts w:cs="Arial"/>
          <w:color w:val="000000" w:themeColor="text1"/>
          <w:szCs w:val="16"/>
        </w:rPr>
        <w:t>SY 2021-22 Assessment Data Groups - Math (EDFacts file spec FS175; Data Group: 583)</w:t>
      </w:r>
    </w:p>
    <w:p w14:paraId="1F735D57"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7D0A75A" w14:textId="6D901961" w:rsidR="00DD5B7A" w:rsidRPr="00781112" w:rsidRDefault="00DD5B7A" w:rsidP="00DD5B7A">
      <w:pPr>
        <w:rPr>
          <w:rFonts w:cs="Arial"/>
          <w:color w:val="000000" w:themeColor="text1"/>
          <w:szCs w:val="16"/>
        </w:rPr>
      </w:pPr>
      <w:r w:rsidRPr="00781112">
        <w:rPr>
          <w:rFonts w:cs="Arial"/>
          <w:color w:val="000000" w:themeColor="text1"/>
          <w:szCs w:val="16"/>
        </w:rPr>
        <w:t>04/05/2023</w:t>
      </w:r>
    </w:p>
    <w:p w14:paraId="0AB0EBE2" w14:textId="23F7C8D8" w:rsidR="00DD5B7A" w:rsidRPr="00781112" w:rsidRDefault="00DD5B7A" w:rsidP="00DD5B7A">
      <w:pPr>
        <w:rPr>
          <w:b/>
          <w:color w:val="000000" w:themeColor="text1"/>
        </w:rPr>
      </w:pPr>
      <w:r w:rsidRPr="00781112">
        <w:rPr>
          <w:b/>
          <w:color w:val="000000" w:themeColor="text1"/>
        </w:rPr>
        <w:t>Math Assessment Proficiency Data by Grade</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590774E0" w14:textId="77777777" w:rsidTr="00E95FBF">
        <w:tc>
          <w:tcPr>
            <w:tcW w:w="1749" w:type="pct"/>
            <w:shd w:val="clear" w:color="auto" w:fill="auto"/>
          </w:tcPr>
          <w:p w14:paraId="4055FBD1" w14:textId="73E0C6E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AA5C0A" w14:textId="35B1C50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shd w:val="clear" w:color="auto" w:fill="auto"/>
            <w:vAlign w:val="center"/>
          </w:tcPr>
          <w:p w14:paraId="4B99C0AD" w14:textId="75D46FFE"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64818CE7" w14:textId="3A3D62E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5B127C40" w14:textId="77777777" w:rsidTr="00E95FBF">
        <w:tc>
          <w:tcPr>
            <w:tcW w:w="1749" w:type="pct"/>
            <w:shd w:val="clear" w:color="auto" w:fill="auto"/>
          </w:tcPr>
          <w:p w14:paraId="0E1B91FD" w14:textId="7C7FA98F" w:rsidR="0039534D" w:rsidRPr="00781112" w:rsidRDefault="0039534D" w:rsidP="0039534D">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52BC5DDE" w14:textId="144A7826" w:rsidR="0039534D" w:rsidRPr="00781112" w:rsidRDefault="0039534D" w:rsidP="0039534D">
            <w:pPr>
              <w:jc w:val="center"/>
              <w:rPr>
                <w:rFonts w:cs="Arial"/>
                <w:color w:val="000000" w:themeColor="text1"/>
                <w:szCs w:val="16"/>
              </w:rPr>
            </w:pPr>
            <w:r w:rsidRPr="00781112">
              <w:rPr>
                <w:rFonts w:cs="Arial"/>
                <w:color w:val="000000" w:themeColor="text1"/>
                <w:szCs w:val="16"/>
              </w:rPr>
              <w:t>48,540</w:t>
            </w:r>
          </w:p>
        </w:tc>
        <w:tc>
          <w:tcPr>
            <w:tcW w:w="1083" w:type="pct"/>
            <w:shd w:val="clear" w:color="auto" w:fill="auto"/>
            <w:vAlign w:val="center"/>
          </w:tcPr>
          <w:p w14:paraId="1F69E804" w14:textId="1CF42368" w:rsidR="0039534D" w:rsidRPr="00781112" w:rsidRDefault="0039534D" w:rsidP="0039534D">
            <w:pPr>
              <w:jc w:val="center"/>
              <w:rPr>
                <w:rFonts w:cs="Arial"/>
                <w:color w:val="000000" w:themeColor="text1"/>
                <w:szCs w:val="16"/>
              </w:rPr>
            </w:pPr>
            <w:r w:rsidRPr="00781112">
              <w:rPr>
                <w:rFonts w:cs="Arial"/>
                <w:color w:val="000000" w:themeColor="text1"/>
                <w:szCs w:val="16"/>
              </w:rPr>
              <w:t>51,189</w:t>
            </w:r>
          </w:p>
        </w:tc>
        <w:tc>
          <w:tcPr>
            <w:tcW w:w="1084" w:type="pct"/>
            <w:shd w:val="clear" w:color="auto" w:fill="auto"/>
            <w:vAlign w:val="center"/>
          </w:tcPr>
          <w:p w14:paraId="3CF6972D" w14:textId="425CE03D" w:rsidR="0039534D" w:rsidRPr="00781112" w:rsidRDefault="0039534D" w:rsidP="0039534D">
            <w:pPr>
              <w:jc w:val="center"/>
              <w:rPr>
                <w:rFonts w:cs="Arial"/>
                <w:color w:val="000000" w:themeColor="text1"/>
                <w:szCs w:val="16"/>
              </w:rPr>
            </w:pPr>
            <w:r w:rsidRPr="00781112">
              <w:rPr>
                <w:rFonts w:cs="Arial"/>
                <w:color w:val="000000" w:themeColor="text1"/>
                <w:szCs w:val="16"/>
              </w:rPr>
              <w:t>45,124</w:t>
            </w:r>
          </w:p>
        </w:tc>
      </w:tr>
      <w:tr w:rsidR="0039534D" w:rsidRPr="00781112" w14:paraId="498D2BC6" w14:textId="77777777" w:rsidTr="00E95FBF">
        <w:tc>
          <w:tcPr>
            <w:tcW w:w="1749" w:type="pct"/>
            <w:shd w:val="clear" w:color="auto" w:fill="auto"/>
          </w:tcPr>
          <w:p w14:paraId="6F359A75" w14:textId="3CC63A02"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76737A54" w14:textId="7FDF30A1" w:rsidR="0039534D" w:rsidRPr="00781112" w:rsidRDefault="0039534D" w:rsidP="0039534D">
            <w:pPr>
              <w:jc w:val="center"/>
              <w:rPr>
                <w:rFonts w:cs="Arial"/>
                <w:color w:val="000000" w:themeColor="text1"/>
                <w:szCs w:val="16"/>
              </w:rPr>
            </w:pPr>
            <w:r w:rsidRPr="00781112">
              <w:rPr>
                <w:rFonts w:cs="Arial"/>
                <w:color w:val="000000" w:themeColor="text1"/>
                <w:szCs w:val="16"/>
              </w:rPr>
              <w:t>9,050</w:t>
            </w:r>
          </w:p>
        </w:tc>
        <w:tc>
          <w:tcPr>
            <w:tcW w:w="1083" w:type="pct"/>
            <w:shd w:val="clear" w:color="auto" w:fill="auto"/>
            <w:vAlign w:val="center"/>
          </w:tcPr>
          <w:p w14:paraId="4728E439" w14:textId="7575A840" w:rsidR="0039534D" w:rsidRPr="00781112" w:rsidRDefault="0039534D" w:rsidP="0039534D">
            <w:pPr>
              <w:jc w:val="center"/>
              <w:rPr>
                <w:rFonts w:cs="Arial"/>
                <w:color w:val="000000" w:themeColor="text1"/>
                <w:szCs w:val="16"/>
              </w:rPr>
            </w:pPr>
            <w:r w:rsidRPr="00781112">
              <w:rPr>
                <w:rFonts w:cs="Arial"/>
                <w:color w:val="000000" w:themeColor="text1"/>
                <w:szCs w:val="16"/>
              </w:rPr>
              <w:t>8,137</w:t>
            </w:r>
          </w:p>
        </w:tc>
        <w:tc>
          <w:tcPr>
            <w:tcW w:w="1084" w:type="pct"/>
            <w:shd w:val="clear" w:color="auto" w:fill="auto"/>
            <w:vAlign w:val="center"/>
          </w:tcPr>
          <w:p w14:paraId="06C8345B" w14:textId="39D5A618" w:rsidR="0039534D" w:rsidRPr="00781112" w:rsidRDefault="0039534D" w:rsidP="0039534D">
            <w:pPr>
              <w:jc w:val="center"/>
              <w:rPr>
                <w:rFonts w:cs="Arial"/>
                <w:color w:val="000000" w:themeColor="text1"/>
                <w:szCs w:val="16"/>
              </w:rPr>
            </w:pPr>
            <w:r w:rsidRPr="00781112">
              <w:rPr>
                <w:rFonts w:cs="Arial"/>
                <w:color w:val="000000" w:themeColor="text1"/>
                <w:szCs w:val="16"/>
              </w:rPr>
              <w:t>6,020</w:t>
            </w:r>
          </w:p>
        </w:tc>
      </w:tr>
      <w:tr w:rsidR="0039534D" w:rsidRPr="00781112" w14:paraId="3DF51785" w14:textId="77777777" w:rsidTr="00E95FBF">
        <w:tc>
          <w:tcPr>
            <w:tcW w:w="1749" w:type="pct"/>
            <w:shd w:val="clear" w:color="auto" w:fill="auto"/>
          </w:tcPr>
          <w:p w14:paraId="4795E661" w14:textId="39A6BCFA" w:rsidR="0039534D" w:rsidRPr="00781112" w:rsidRDefault="0039534D" w:rsidP="0039534D">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5CB3E7A3" w14:textId="5EDF24EC" w:rsidR="0039534D" w:rsidRPr="00781112" w:rsidRDefault="0039534D" w:rsidP="0039534D">
            <w:pPr>
              <w:jc w:val="center"/>
              <w:rPr>
                <w:rFonts w:cs="Arial"/>
                <w:color w:val="000000" w:themeColor="text1"/>
                <w:szCs w:val="16"/>
              </w:rPr>
            </w:pPr>
            <w:r w:rsidRPr="00781112">
              <w:rPr>
                <w:rFonts w:cs="Arial"/>
                <w:color w:val="000000" w:themeColor="text1"/>
                <w:szCs w:val="16"/>
              </w:rPr>
              <w:t>15,471</w:t>
            </w:r>
          </w:p>
        </w:tc>
        <w:tc>
          <w:tcPr>
            <w:tcW w:w="1083" w:type="pct"/>
            <w:shd w:val="clear" w:color="auto" w:fill="auto"/>
            <w:vAlign w:val="center"/>
          </w:tcPr>
          <w:p w14:paraId="7CCA2E3B" w14:textId="3CD9DE15" w:rsidR="0039534D" w:rsidRPr="00781112" w:rsidRDefault="0039534D" w:rsidP="0039534D">
            <w:pPr>
              <w:jc w:val="center"/>
              <w:rPr>
                <w:rFonts w:cs="Arial"/>
                <w:color w:val="000000" w:themeColor="text1"/>
                <w:szCs w:val="16"/>
              </w:rPr>
            </w:pPr>
            <w:r w:rsidRPr="00781112">
              <w:rPr>
                <w:rFonts w:cs="Arial"/>
                <w:color w:val="000000" w:themeColor="text1"/>
                <w:szCs w:val="16"/>
              </w:rPr>
              <w:t>7,933</w:t>
            </w:r>
          </w:p>
        </w:tc>
        <w:tc>
          <w:tcPr>
            <w:tcW w:w="1084" w:type="pct"/>
            <w:shd w:val="clear" w:color="auto" w:fill="auto"/>
            <w:vAlign w:val="center"/>
          </w:tcPr>
          <w:p w14:paraId="735C7B5A" w14:textId="1C3B3FE1" w:rsidR="0039534D" w:rsidRPr="00781112" w:rsidRDefault="0039534D" w:rsidP="0039534D">
            <w:pPr>
              <w:jc w:val="center"/>
              <w:rPr>
                <w:rFonts w:cs="Arial"/>
                <w:color w:val="000000" w:themeColor="text1"/>
                <w:szCs w:val="16"/>
              </w:rPr>
            </w:pPr>
            <w:r w:rsidRPr="00781112">
              <w:rPr>
                <w:rFonts w:cs="Arial"/>
                <w:color w:val="000000" w:themeColor="text1"/>
                <w:szCs w:val="16"/>
              </w:rPr>
              <w:t>8,411</w:t>
            </w:r>
          </w:p>
        </w:tc>
      </w:tr>
      <w:tr w:rsidR="0039534D" w:rsidRPr="00781112" w14:paraId="07844546" w14:textId="77777777" w:rsidTr="00E95FBF">
        <w:tc>
          <w:tcPr>
            <w:tcW w:w="1749" w:type="pct"/>
            <w:shd w:val="clear" w:color="auto" w:fill="auto"/>
          </w:tcPr>
          <w:p w14:paraId="47D524EB" w14:textId="56F8E4CC" w:rsidR="0039534D" w:rsidRPr="00781112" w:rsidRDefault="0039534D" w:rsidP="0039534D">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56F62AFB" w14:textId="4BC3B8A6" w:rsidR="0039534D" w:rsidRPr="00781112" w:rsidRDefault="0039534D" w:rsidP="0039534D">
            <w:pPr>
              <w:jc w:val="center"/>
              <w:rPr>
                <w:rFonts w:cs="Arial"/>
                <w:color w:val="000000" w:themeColor="text1"/>
                <w:szCs w:val="16"/>
              </w:rPr>
            </w:pPr>
            <w:r w:rsidRPr="00781112">
              <w:rPr>
                <w:rFonts w:cs="Arial"/>
                <w:color w:val="000000" w:themeColor="text1"/>
                <w:szCs w:val="16"/>
              </w:rPr>
              <w:t>533</w:t>
            </w:r>
          </w:p>
        </w:tc>
        <w:tc>
          <w:tcPr>
            <w:tcW w:w="1083" w:type="pct"/>
            <w:shd w:val="clear" w:color="auto" w:fill="auto"/>
            <w:vAlign w:val="center"/>
          </w:tcPr>
          <w:p w14:paraId="3CDBB055" w14:textId="52A1C13C" w:rsidR="0039534D" w:rsidRPr="00781112" w:rsidRDefault="0039534D" w:rsidP="0039534D">
            <w:pPr>
              <w:jc w:val="center"/>
              <w:rPr>
                <w:rFonts w:cs="Arial"/>
                <w:color w:val="000000" w:themeColor="text1"/>
                <w:szCs w:val="16"/>
              </w:rPr>
            </w:pPr>
            <w:r w:rsidRPr="00781112">
              <w:rPr>
                <w:rFonts w:cs="Arial"/>
                <w:color w:val="000000" w:themeColor="text1"/>
                <w:szCs w:val="16"/>
              </w:rPr>
              <w:t>127</w:t>
            </w:r>
          </w:p>
        </w:tc>
        <w:tc>
          <w:tcPr>
            <w:tcW w:w="1084" w:type="pct"/>
            <w:shd w:val="clear" w:color="auto" w:fill="auto"/>
            <w:vAlign w:val="center"/>
          </w:tcPr>
          <w:p w14:paraId="53087BDA" w14:textId="7F6FB55C" w:rsidR="0039534D" w:rsidRPr="00781112" w:rsidRDefault="0039534D" w:rsidP="0039534D">
            <w:pPr>
              <w:jc w:val="center"/>
              <w:rPr>
                <w:rFonts w:cs="Arial"/>
                <w:color w:val="000000" w:themeColor="text1"/>
                <w:szCs w:val="16"/>
              </w:rPr>
            </w:pPr>
            <w:r w:rsidRPr="00781112">
              <w:rPr>
                <w:rFonts w:cs="Arial"/>
                <w:color w:val="000000" w:themeColor="text1"/>
                <w:szCs w:val="16"/>
              </w:rPr>
              <w:t>267</w:t>
            </w:r>
          </w:p>
        </w:tc>
      </w:tr>
      <w:tr w:rsidR="0039534D" w:rsidRPr="00781112" w14:paraId="0A3B43B6" w14:textId="77777777" w:rsidTr="00E95FBF">
        <w:tc>
          <w:tcPr>
            <w:tcW w:w="1749" w:type="pct"/>
            <w:shd w:val="clear" w:color="auto" w:fill="auto"/>
          </w:tcPr>
          <w:p w14:paraId="78623131" w14:textId="1D0B9916" w:rsidR="0039534D" w:rsidRPr="00781112" w:rsidRDefault="0039534D" w:rsidP="0039534D">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6A062FCA" w14:textId="010EA23D" w:rsidR="0039534D" w:rsidRPr="00781112" w:rsidRDefault="0039534D" w:rsidP="0039534D">
            <w:pPr>
              <w:jc w:val="center"/>
              <w:rPr>
                <w:rFonts w:cs="Arial"/>
                <w:color w:val="000000" w:themeColor="text1"/>
                <w:szCs w:val="16"/>
              </w:rPr>
            </w:pPr>
            <w:r w:rsidRPr="00781112">
              <w:rPr>
                <w:rFonts w:cs="Arial"/>
                <w:color w:val="000000" w:themeColor="text1"/>
                <w:szCs w:val="16"/>
              </w:rPr>
              <w:t>819</w:t>
            </w:r>
          </w:p>
        </w:tc>
        <w:tc>
          <w:tcPr>
            <w:tcW w:w="1083" w:type="pct"/>
            <w:shd w:val="clear" w:color="auto" w:fill="auto"/>
            <w:vAlign w:val="center"/>
          </w:tcPr>
          <w:p w14:paraId="0A64567E" w14:textId="2D3B6CBD" w:rsidR="0039534D" w:rsidRPr="00781112" w:rsidRDefault="0039534D" w:rsidP="0039534D">
            <w:pPr>
              <w:jc w:val="center"/>
              <w:rPr>
                <w:rFonts w:cs="Arial"/>
                <w:color w:val="000000" w:themeColor="text1"/>
                <w:szCs w:val="16"/>
              </w:rPr>
            </w:pPr>
            <w:r w:rsidRPr="00781112">
              <w:rPr>
                <w:rFonts w:cs="Arial"/>
                <w:color w:val="000000" w:themeColor="text1"/>
                <w:szCs w:val="16"/>
              </w:rPr>
              <w:t>105</w:t>
            </w:r>
          </w:p>
        </w:tc>
        <w:tc>
          <w:tcPr>
            <w:tcW w:w="1084" w:type="pct"/>
            <w:shd w:val="clear" w:color="auto" w:fill="auto"/>
            <w:vAlign w:val="center"/>
          </w:tcPr>
          <w:p w14:paraId="4656C7C9" w14:textId="098CB46F" w:rsidR="0039534D" w:rsidRPr="00781112" w:rsidRDefault="0039534D" w:rsidP="0039534D">
            <w:pPr>
              <w:jc w:val="center"/>
              <w:rPr>
                <w:rFonts w:cs="Arial"/>
                <w:color w:val="000000" w:themeColor="text1"/>
                <w:szCs w:val="16"/>
              </w:rPr>
            </w:pPr>
            <w:r w:rsidRPr="00781112">
              <w:rPr>
                <w:rFonts w:cs="Arial"/>
                <w:color w:val="000000" w:themeColor="text1"/>
                <w:szCs w:val="16"/>
              </w:rPr>
              <w:t>96</w:t>
            </w:r>
          </w:p>
        </w:tc>
      </w:tr>
      <w:tr w:rsidR="0039534D" w:rsidRPr="00781112" w14:paraId="7854C881" w14:textId="77777777" w:rsidTr="00E95FBF">
        <w:tc>
          <w:tcPr>
            <w:tcW w:w="1749" w:type="pct"/>
            <w:shd w:val="clear" w:color="auto" w:fill="auto"/>
          </w:tcPr>
          <w:p w14:paraId="11893D61" w14:textId="60FC961E" w:rsidR="0039534D" w:rsidRPr="00781112" w:rsidRDefault="0039534D" w:rsidP="0039534D">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59046EB4" w14:textId="7B9261DB" w:rsidR="0039534D" w:rsidRPr="00781112" w:rsidRDefault="0039534D" w:rsidP="0039534D">
            <w:pPr>
              <w:jc w:val="center"/>
              <w:rPr>
                <w:rFonts w:cs="Arial"/>
                <w:color w:val="000000" w:themeColor="text1"/>
                <w:szCs w:val="16"/>
              </w:rPr>
            </w:pPr>
            <w:r w:rsidRPr="00781112">
              <w:rPr>
                <w:rFonts w:cs="Arial"/>
                <w:color w:val="000000" w:themeColor="text1"/>
                <w:szCs w:val="16"/>
              </w:rPr>
              <w:t>533</w:t>
            </w:r>
          </w:p>
        </w:tc>
        <w:tc>
          <w:tcPr>
            <w:tcW w:w="1083" w:type="pct"/>
            <w:shd w:val="clear" w:color="auto" w:fill="auto"/>
            <w:vAlign w:val="center"/>
          </w:tcPr>
          <w:p w14:paraId="1A17DFA3" w14:textId="3FCA504B" w:rsidR="0039534D" w:rsidRPr="00781112" w:rsidRDefault="0039534D" w:rsidP="0039534D">
            <w:pPr>
              <w:jc w:val="center"/>
              <w:rPr>
                <w:rFonts w:cs="Arial"/>
                <w:color w:val="000000" w:themeColor="text1"/>
                <w:szCs w:val="16"/>
              </w:rPr>
            </w:pPr>
            <w:r w:rsidRPr="00781112">
              <w:rPr>
                <w:rFonts w:cs="Arial"/>
                <w:color w:val="000000" w:themeColor="text1"/>
                <w:szCs w:val="16"/>
              </w:rPr>
              <w:t>127</w:t>
            </w:r>
          </w:p>
        </w:tc>
        <w:tc>
          <w:tcPr>
            <w:tcW w:w="1084" w:type="pct"/>
            <w:shd w:val="clear" w:color="auto" w:fill="auto"/>
            <w:vAlign w:val="center"/>
          </w:tcPr>
          <w:p w14:paraId="20EB2770" w14:textId="2709C0DA" w:rsidR="0039534D" w:rsidRPr="00781112" w:rsidRDefault="0039534D" w:rsidP="0039534D">
            <w:pPr>
              <w:jc w:val="center"/>
              <w:rPr>
                <w:rFonts w:cs="Arial"/>
                <w:color w:val="000000" w:themeColor="text1"/>
                <w:szCs w:val="16"/>
              </w:rPr>
            </w:pPr>
            <w:r w:rsidRPr="00781112">
              <w:rPr>
                <w:rFonts w:cs="Arial"/>
                <w:color w:val="000000" w:themeColor="text1"/>
                <w:szCs w:val="16"/>
              </w:rPr>
              <w:t>89</w:t>
            </w:r>
          </w:p>
        </w:tc>
      </w:tr>
    </w:tbl>
    <w:p w14:paraId="1EA160DB" w14:textId="77777777" w:rsidR="00DD5B7A" w:rsidRPr="00781112" w:rsidRDefault="00DD5B7A" w:rsidP="00DD5B7A">
      <w:pPr>
        <w:rPr>
          <w:color w:val="000000" w:themeColor="text1"/>
        </w:rPr>
      </w:pPr>
    </w:p>
    <w:p w14:paraId="300D6CD4" w14:textId="52C9441D" w:rsidR="00DD5B7A" w:rsidRPr="00781112" w:rsidRDefault="0047313F" w:rsidP="00DD5B7A">
      <w:pPr>
        <w:rPr>
          <w:b/>
          <w:color w:val="000000" w:themeColor="text1"/>
        </w:rPr>
      </w:pPr>
      <w:r>
        <w:rPr>
          <w:b/>
          <w:color w:val="000000" w:themeColor="text1"/>
        </w:rPr>
        <w:t>FFY 2021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FA33C9" w:rsidRPr="00781112" w14:paraId="2F7F1DE8" w14:textId="77777777" w:rsidTr="00360DD6">
        <w:trPr>
          <w:tblHeader/>
        </w:trPr>
        <w:tc>
          <w:tcPr>
            <w:tcW w:w="331" w:type="pct"/>
            <w:shd w:val="clear" w:color="auto" w:fill="auto"/>
            <w:vAlign w:val="bottom"/>
          </w:tcPr>
          <w:p w14:paraId="0E14CE7F"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4F428A92" w14:textId="77777777" w:rsidR="00FA33C9" w:rsidRPr="00781112" w:rsidRDefault="00FA33C9" w:rsidP="00FA33C9">
            <w:pPr>
              <w:jc w:val="center"/>
              <w:rPr>
                <w:b/>
                <w:color w:val="000000" w:themeColor="text1"/>
              </w:rPr>
            </w:pPr>
            <w:r w:rsidRPr="00781112">
              <w:rPr>
                <w:b/>
                <w:color w:val="000000" w:themeColor="text1"/>
              </w:rPr>
              <w:t>Group Name</w:t>
            </w:r>
          </w:p>
        </w:tc>
        <w:tc>
          <w:tcPr>
            <w:tcW w:w="812" w:type="pct"/>
            <w:shd w:val="clear" w:color="auto" w:fill="auto"/>
          </w:tcPr>
          <w:p w14:paraId="46CAD1DD" w14:textId="7A73217C"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shd w:val="clear" w:color="auto" w:fill="auto"/>
          </w:tcPr>
          <w:p w14:paraId="6DE1E86B" w14:textId="68DF8E07"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shd w:val="clear" w:color="auto" w:fill="auto"/>
            <w:vAlign w:val="bottom"/>
          </w:tcPr>
          <w:p w14:paraId="0E9E489C" w14:textId="0E46FEA8" w:rsidR="00FA33C9" w:rsidRPr="00073BD7" w:rsidRDefault="00FA33C9" w:rsidP="00FA33C9">
            <w:pPr>
              <w:jc w:val="center"/>
              <w:rPr>
                <w:b/>
                <w:bCs/>
                <w:color w:val="000000" w:themeColor="text1"/>
              </w:rPr>
            </w:pPr>
            <w:r w:rsidRPr="00073BD7">
              <w:rPr>
                <w:b/>
                <w:bCs/>
              </w:rPr>
              <w:t>FFY 2020 Data</w:t>
            </w:r>
          </w:p>
        </w:tc>
        <w:tc>
          <w:tcPr>
            <w:tcW w:w="517" w:type="pct"/>
            <w:shd w:val="clear" w:color="auto" w:fill="auto"/>
            <w:vAlign w:val="bottom"/>
          </w:tcPr>
          <w:p w14:paraId="69544656" w14:textId="54A418A5" w:rsidR="00FA33C9" w:rsidRPr="00073BD7" w:rsidRDefault="00FA33C9" w:rsidP="00FA33C9">
            <w:pPr>
              <w:jc w:val="center"/>
              <w:rPr>
                <w:b/>
                <w:bCs/>
                <w:color w:val="000000" w:themeColor="text1"/>
              </w:rPr>
            </w:pPr>
            <w:r w:rsidRPr="00073BD7">
              <w:rPr>
                <w:b/>
                <w:bCs/>
              </w:rPr>
              <w:t>FFY 2021 Target</w:t>
            </w:r>
          </w:p>
        </w:tc>
        <w:tc>
          <w:tcPr>
            <w:tcW w:w="517" w:type="pct"/>
            <w:shd w:val="clear" w:color="auto" w:fill="auto"/>
            <w:vAlign w:val="bottom"/>
          </w:tcPr>
          <w:p w14:paraId="611B3DE3" w14:textId="365252D3" w:rsidR="00FA33C9" w:rsidRPr="00073BD7" w:rsidRDefault="00FA33C9" w:rsidP="00FA33C9">
            <w:pPr>
              <w:jc w:val="center"/>
              <w:rPr>
                <w:b/>
                <w:bCs/>
                <w:color w:val="000000" w:themeColor="text1"/>
              </w:rPr>
            </w:pPr>
            <w:r w:rsidRPr="00073BD7">
              <w:rPr>
                <w:b/>
                <w:bCs/>
              </w:rPr>
              <w:t>FFY 2021 Data</w:t>
            </w:r>
          </w:p>
        </w:tc>
        <w:tc>
          <w:tcPr>
            <w:tcW w:w="517" w:type="pct"/>
            <w:shd w:val="clear" w:color="auto" w:fill="auto"/>
            <w:vAlign w:val="bottom"/>
          </w:tcPr>
          <w:p w14:paraId="6D2215D6" w14:textId="77777777" w:rsidR="00FA33C9" w:rsidRPr="00781112" w:rsidRDefault="00FA33C9" w:rsidP="00FA33C9">
            <w:pPr>
              <w:jc w:val="center"/>
              <w:rPr>
                <w:b/>
                <w:color w:val="000000" w:themeColor="text1"/>
              </w:rPr>
            </w:pPr>
            <w:r w:rsidRPr="00781112">
              <w:rPr>
                <w:b/>
                <w:color w:val="000000" w:themeColor="text1"/>
              </w:rPr>
              <w:t>Status</w:t>
            </w:r>
          </w:p>
        </w:tc>
        <w:tc>
          <w:tcPr>
            <w:tcW w:w="516" w:type="pct"/>
            <w:shd w:val="clear" w:color="auto" w:fill="auto"/>
            <w:vAlign w:val="bottom"/>
          </w:tcPr>
          <w:p w14:paraId="4FACB3EB" w14:textId="77777777" w:rsidR="00FA33C9" w:rsidRPr="00781112" w:rsidRDefault="00FA33C9" w:rsidP="00FA33C9">
            <w:pPr>
              <w:jc w:val="center"/>
              <w:rPr>
                <w:b/>
                <w:color w:val="000000" w:themeColor="text1"/>
              </w:rPr>
            </w:pPr>
            <w:r w:rsidRPr="00781112">
              <w:rPr>
                <w:b/>
                <w:color w:val="000000" w:themeColor="text1"/>
              </w:rPr>
              <w:t>Slippage</w:t>
            </w:r>
          </w:p>
        </w:tc>
      </w:tr>
      <w:tr w:rsidR="00E22739" w:rsidRPr="00781112" w14:paraId="190DF2EB" w14:textId="77777777" w:rsidTr="00360DD6">
        <w:tc>
          <w:tcPr>
            <w:tcW w:w="331" w:type="pct"/>
            <w:shd w:val="clear" w:color="auto" w:fill="auto"/>
            <w:vAlign w:val="center"/>
          </w:tcPr>
          <w:p w14:paraId="3AAB1776"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50AFDCF6" w14:textId="41D78AC3"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shd w:val="clear" w:color="auto" w:fill="auto"/>
          </w:tcPr>
          <w:p w14:paraId="05BCB412" w14:textId="0263BB70" w:rsidR="00E22739" w:rsidRPr="00781112" w:rsidRDefault="00E22739" w:rsidP="00E22739">
            <w:pPr>
              <w:jc w:val="center"/>
              <w:rPr>
                <w:rFonts w:cs="Arial"/>
                <w:color w:val="000000" w:themeColor="text1"/>
                <w:szCs w:val="16"/>
              </w:rPr>
            </w:pPr>
            <w:r w:rsidRPr="00781112">
              <w:rPr>
                <w:rFonts w:cs="Arial"/>
                <w:color w:val="000000"/>
                <w:szCs w:val="16"/>
              </w:rPr>
              <w:t>7.93%</w:t>
            </w:r>
          </w:p>
        </w:tc>
        <w:tc>
          <w:tcPr>
            <w:tcW w:w="812" w:type="pct"/>
            <w:shd w:val="clear" w:color="auto" w:fill="auto"/>
            <w:vAlign w:val="center"/>
          </w:tcPr>
          <w:p w14:paraId="3354BCD4" w14:textId="5A7FC816" w:rsidR="00E22739" w:rsidRPr="00781112" w:rsidRDefault="00E22739" w:rsidP="00E22739">
            <w:pPr>
              <w:jc w:val="center"/>
              <w:rPr>
                <w:rFonts w:cs="Arial"/>
                <w:color w:val="000000" w:themeColor="text1"/>
                <w:szCs w:val="16"/>
              </w:rPr>
            </w:pPr>
            <w:r w:rsidRPr="00781112">
              <w:rPr>
                <w:rFonts w:cs="Arial"/>
                <w:color w:val="000000" w:themeColor="text1"/>
                <w:szCs w:val="16"/>
              </w:rPr>
              <w:t>23.52%</w:t>
            </w:r>
          </w:p>
        </w:tc>
        <w:tc>
          <w:tcPr>
            <w:tcW w:w="516" w:type="pct"/>
            <w:shd w:val="clear" w:color="auto" w:fill="auto"/>
            <w:vAlign w:val="center"/>
          </w:tcPr>
          <w:p w14:paraId="54DCE3E3" w14:textId="767528A8" w:rsidR="00E22739" w:rsidRPr="00781112" w:rsidRDefault="00E22739" w:rsidP="00E22739">
            <w:pPr>
              <w:jc w:val="center"/>
              <w:rPr>
                <w:rFonts w:cs="Arial"/>
                <w:color w:val="000000" w:themeColor="text1"/>
                <w:szCs w:val="16"/>
              </w:rPr>
            </w:pPr>
            <w:r w:rsidRPr="00781112">
              <w:rPr>
                <w:rFonts w:cs="Arial"/>
                <w:color w:val="000000" w:themeColor="text1"/>
                <w:szCs w:val="16"/>
              </w:rPr>
              <w:t>15.26</w:t>
            </w:r>
          </w:p>
        </w:tc>
        <w:tc>
          <w:tcPr>
            <w:tcW w:w="517" w:type="pct"/>
            <w:shd w:val="clear" w:color="auto" w:fill="auto"/>
            <w:vAlign w:val="center"/>
          </w:tcPr>
          <w:p w14:paraId="391F5142" w14:textId="770A7FE0" w:rsidR="00E22739" w:rsidRPr="00781112" w:rsidRDefault="00E22739" w:rsidP="00E22739">
            <w:pPr>
              <w:jc w:val="center"/>
              <w:rPr>
                <w:rFonts w:cs="Arial"/>
                <w:color w:val="000000" w:themeColor="text1"/>
                <w:szCs w:val="16"/>
              </w:rPr>
            </w:pPr>
            <w:r w:rsidRPr="00781112">
              <w:rPr>
                <w:rFonts w:cs="Arial"/>
                <w:color w:val="000000" w:themeColor="text1"/>
                <w:szCs w:val="16"/>
              </w:rPr>
              <w:t>14.27</w:t>
            </w:r>
          </w:p>
        </w:tc>
        <w:tc>
          <w:tcPr>
            <w:tcW w:w="517" w:type="pct"/>
            <w:shd w:val="clear" w:color="auto" w:fill="auto"/>
            <w:vAlign w:val="center"/>
          </w:tcPr>
          <w:p w14:paraId="017D29FF" w14:textId="59A06573" w:rsidR="00E22739" w:rsidRPr="00781112" w:rsidRDefault="00E22739" w:rsidP="00E22739">
            <w:pPr>
              <w:jc w:val="center"/>
              <w:rPr>
                <w:rFonts w:cs="Arial"/>
                <w:color w:val="000000" w:themeColor="text1"/>
                <w:szCs w:val="16"/>
              </w:rPr>
            </w:pPr>
            <w:r w:rsidRPr="00781112">
              <w:rPr>
                <w:rFonts w:cs="Arial"/>
                <w:color w:val="000000" w:themeColor="text1"/>
                <w:szCs w:val="16"/>
              </w:rPr>
              <w:t>15.59</w:t>
            </w:r>
          </w:p>
        </w:tc>
        <w:tc>
          <w:tcPr>
            <w:tcW w:w="517" w:type="pct"/>
            <w:shd w:val="clear" w:color="auto" w:fill="auto"/>
            <w:vAlign w:val="center"/>
          </w:tcPr>
          <w:p w14:paraId="39C0C705" w14:textId="1211FD2B"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shd w:val="clear" w:color="auto" w:fill="auto"/>
            <w:vAlign w:val="center"/>
          </w:tcPr>
          <w:p w14:paraId="339FEB2D" w14:textId="0223F58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FDDF1FC" w14:textId="77777777" w:rsidTr="00360DD6">
        <w:tc>
          <w:tcPr>
            <w:tcW w:w="331" w:type="pct"/>
            <w:shd w:val="clear" w:color="auto" w:fill="auto"/>
            <w:vAlign w:val="center"/>
          </w:tcPr>
          <w:p w14:paraId="472CE57B"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206C7DCC" w14:textId="37A252FA"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shd w:val="clear" w:color="auto" w:fill="auto"/>
          </w:tcPr>
          <w:p w14:paraId="7D22B3FA" w14:textId="258C0B1D" w:rsidR="00E22739" w:rsidRPr="00781112" w:rsidRDefault="00E22739" w:rsidP="00E22739">
            <w:pPr>
              <w:jc w:val="center"/>
              <w:rPr>
                <w:rFonts w:cs="Arial"/>
                <w:color w:val="000000" w:themeColor="text1"/>
                <w:szCs w:val="16"/>
              </w:rPr>
            </w:pPr>
            <w:r w:rsidRPr="00781112">
              <w:rPr>
                <w:rFonts w:cs="Arial"/>
                <w:color w:val="000000"/>
                <w:szCs w:val="16"/>
              </w:rPr>
              <w:t>4.92%</w:t>
            </w:r>
          </w:p>
        </w:tc>
        <w:tc>
          <w:tcPr>
            <w:tcW w:w="812" w:type="pct"/>
            <w:shd w:val="clear" w:color="auto" w:fill="auto"/>
            <w:vAlign w:val="center"/>
          </w:tcPr>
          <w:p w14:paraId="375F78DA" w14:textId="0FC6397A" w:rsidR="00E22739" w:rsidRPr="00781112" w:rsidRDefault="00E22739" w:rsidP="00E22739">
            <w:pPr>
              <w:jc w:val="center"/>
              <w:rPr>
                <w:rFonts w:cs="Arial"/>
                <w:color w:val="000000" w:themeColor="text1"/>
                <w:szCs w:val="16"/>
              </w:rPr>
            </w:pPr>
            <w:r w:rsidRPr="00781112">
              <w:rPr>
                <w:rFonts w:cs="Arial"/>
                <w:color w:val="000000" w:themeColor="text1"/>
                <w:szCs w:val="16"/>
              </w:rPr>
              <w:t>24.93%</w:t>
            </w:r>
          </w:p>
        </w:tc>
        <w:tc>
          <w:tcPr>
            <w:tcW w:w="516" w:type="pct"/>
            <w:shd w:val="clear" w:color="auto" w:fill="auto"/>
            <w:vAlign w:val="center"/>
          </w:tcPr>
          <w:p w14:paraId="64AC26EC" w14:textId="4F9A3CF6" w:rsidR="00E22739" w:rsidRPr="00781112" w:rsidRDefault="00E22739" w:rsidP="00E22739">
            <w:pPr>
              <w:jc w:val="center"/>
              <w:rPr>
                <w:rFonts w:cs="Arial"/>
                <w:color w:val="000000" w:themeColor="text1"/>
                <w:szCs w:val="16"/>
              </w:rPr>
            </w:pPr>
            <w:r w:rsidRPr="00781112">
              <w:rPr>
                <w:rFonts w:cs="Arial"/>
                <w:color w:val="000000" w:themeColor="text1"/>
                <w:szCs w:val="16"/>
              </w:rPr>
              <w:t>19.45</w:t>
            </w:r>
          </w:p>
        </w:tc>
        <w:tc>
          <w:tcPr>
            <w:tcW w:w="517" w:type="pct"/>
            <w:shd w:val="clear" w:color="auto" w:fill="auto"/>
            <w:vAlign w:val="center"/>
          </w:tcPr>
          <w:p w14:paraId="3B5E22DF" w14:textId="033CD131" w:rsidR="00E22739" w:rsidRPr="00781112" w:rsidRDefault="00E22739" w:rsidP="00E22739">
            <w:pPr>
              <w:jc w:val="center"/>
              <w:rPr>
                <w:rFonts w:cs="Arial"/>
                <w:color w:val="000000" w:themeColor="text1"/>
                <w:szCs w:val="16"/>
              </w:rPr>
            </w:pPr>
            <w:r w:rsidRPr="00781112">
              <w:rPr>
                <w:rFonts w:cs="Arial"/>
                <w:color w:val="000000" w:themeColor="text1"/>
                <w:szCs w:val="16"/>
              </w:rPr>
              <w:t>18.45</w:t>
            </w:r>
          </w:p>
        </w:tc>
        <w:tc>
          <w:tcPr>
            <w:tcW w:w="517" w:type="pct"/>
            <w:shd w:val="clear" w:color="auto" w:fill="auto"/>
            <w:vAlign w:val="center"/>
          </w:tcPr>
          <w:p w14:paraId="256C9782" w14:textId="4BEEC361" w:rsidR="00E22739" w:rsidRPr="00781112" w:rsidRDefault="00E22739" w:rsidP="00E22739">
            <w:pPr>
              <w:jc w:val="center"/>
              <w:rPr>
                <w:rFonts w:cs="Arial"/>
                <w:color w:val="000000" w:themeColor="text1"/>
                <w:szCs w:val="16"/>
              </w:rPr>
            </w:pPr>
            <w:r w:rsidRPr="00781112">
              <w:rPr>
                <w:rFonts w:cs="Arial"/>
                <w:color w:val="000000" w:themeColor="text1"/>
                <w:szCs w:val="16"/>
              </w:rPr>
              <w:t>20.00</w:t>
            </w:r>
          </w:p>
        </w:tc>
        <w:tc>
          <w:tcPr>
            <w:tcW w:w="517" w:type="pct"/>
            <w:shd w:val="clear" w:color="auto" w:fill="auto"/>
            <w:vAlign w:val="center"/>
          </w:tcPr>
          <w:p w14:paraId="51FD2F8A" w14:textId="67567519"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shd w:val="clear" w:color="auto" w:fill="auto"/>
            <w:vAlign w:val="center"/>
          </w:tcPr>
          <w:p w14:paraId="7915AEC0" w14:textId="2BE183B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A60F932" w14:textId="77777777" w:rsidTr="00360DD6">
        <w:tc>
          <w:tcPr>
            <w:tcW w:w="331" w:type="pct"/>
            <w:shd w:val="clear" w:color="auto" w:fill="auto"/>
            <w:vAlign w:val="center"/>
          </w:tcPr>
          <w:p w14:paraId="109942AA"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lastRenderedPageBreak/>
              <w:t>C</w:t>
            </w:r>
          </w:p>
        </w:tc>
        <w:tc>
          <w:tcPr>
            <w:tcW w:w="461" w:type="pct"/>
            <w:shd w:val="clear" w:color="auto" w:fill="auto"/>
            <w:vAlign w:val="center"/>
          </w:tcPr>
          <w:p w14:paraId="629F3FBC" w14:textId="78934061"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shd w:val="clear" w:color="auto" w:fill="auto"/>
          </w:tcPr>
          <w:p w14:paraId="125CF02F" w14:textId="284CB419" w:rsidR="00E22739" w:rsidRPr="00781112" w:rsidRDefault="00E22739" w:rsidP="00E22739">
            <w:pPr>
              <w:jc w:val="center"/>
              <w:rPr>
                <w:rFonts w:cs="Arial"/>
                <w:color w:val="000000" w:themeColor="text1"/>
                <w:szCs w:val="16"/>
              </w:rPr>
            </w:pPr>
            <w:r w:rsidRPr="00781112">
              <w:rPr>
                <w:rFonts w:cs="Arial"/>
                <w:color w:val="000000"/>
                <w:szCs w:val="16"/>
              </w:rPr>
              <w:t>9.20%</w:t>
            </w:r>
          </w:p>
        </w:tc>
        <w:tc>
          <w:tcPr>
            <w:tcW w:w="812" w:type="pct"/>
            <w:shd w:val="clear" w:color="auto" w:fill="auto"/>
            <w:vAlign w:val="center"/>
          </w:tcPr>
          <w:p w14:paraId="1276E93C" w14:textId="75BFB41B" w:rsidR="00E22739" w:rsidRPr="00781112" w:rsidRDefault="00E22739" w:rsidP="00E22739">
            <w:pPr>
              <w:jc w:val="center"/>
              <w:rPr>
                <w:rFonts w:cs="Arial"/>
                <w:color w:val="000000" w:themeColor="text1"/>
                <w:szCs w:val="16"/>
              </w:rPr>
            </w:pPr>
            <w:r w:rsidRPr="00781112">
              <w:rPr>
                <w:rFonts w:cs="Arial"/>
                <w:color w:val="000000" w:themeColor="text1"/>
                <w:szCs w:val="16"/>
              </w:rPr>
              <w:t>38.39%</w:t>
            </w:r>
          </w:p>
        </w:tc>
        <w:tc>
          <w:tcPr>
            <w:tcW w:w="516" w:type="pct"/>
            <w:shd w:val="clear" w:color="auto" w:fill="auto"/>
            <w:vAlign w:val="center"/>
          </w:tcPr>
          <w:p w14:paraId="76DE5213" w14:textId="3C97B5A2" w:rsidR="00E22739" w:rsidRPr="00781112" w:rsidRDefault="00E22739" w:rsidP="00E22739">
            <w:pPr>
              <w:jc w:val="center"/>
              <w:rPr>
                <w:rFonts w:cs="Arial"/>
                <w:color w:val="000000" w:themeColor="text1"/>
                <w:szCs w:val="16"/>
              </w:rPr>
            </w:pPr>
            <w:r w:rsidRPr="00781112">
              <w:rPr>
                <w:rFonts w:cs="Arial"/>
                <w:color w:val="000000" w:themeColor="text1"/>
                <w:szCs w:val="16"/>
              </w:rPr>
              <w:t>24.48</w:t>
            </w:r>
          </w:p>
        </w:tc>
        <w:tc>
          <w:tcPr>
            <w:tcW w:w="517" w:type="pct"/>
            <w:shd w:val="clear" w:color="auto" w:fill="auto"/>
            <w:vAlign w:val="center"/>
          </w:tcPr>
          <w:p w14:paraId="49FF9458" w14:textId="166D5425" w:rsidR="00E22739" w:rsidRPr="00781112" w:rsidRDefault="00E22739" w:rsidP="00E22739">
            <w:pPr>
              <w:jc w:val="center"/>
              <w:rPr>
                <w:rFonts w:cs="Arial"/>
                <w:color w:val="000000" w:themeColor="text1"/>
                <w:szCs w:val="16"/>
              </w:rPr>
            </w:pPr>
            <w:r w:rsidRPr="00781112">
              <w:rPr>
                <w:rFonts w:cs="Arial"/>
                <w:color w:val="000000" w:themeColor="text1"/>
                <w:szCs w:val="16"/>
              </w:rPr>
              <w:t>23.48</w:t>
            </w:r>
          </w:p>
        </w:tc>
        <w:tc>
          <w:tcPr>
            <w:tcW w:w="517" w:type="pct"/>
            <w:shd w:val="clear" w:color="auto" w:fill="auto"/>
            <w:vAlign w:val="center"/>
          </w:tcPr>
          <w:p w14:paraId="6CEACE1B" w14:textId="242A6B31" w:rsidR="00E22739" w:rsidRPr="00781112" w:rsidRDefault="00E22739" w:rsidP="00E22739">
            <w:pPr>
              <w:jc w:val="center"/>
              <w:rPr>
                <w:rFonts w:cs="Arial"/>
                <w:color w:val="000000" w:themeColor="text1"/>
                <w:szCs w:val="16"/>
              </w:rPr>
            </w:pPr>
            <w:r w:rsidRPr="00781112">
              <w:rPr>
                <w:rFonts w:cs="Arial"/>
                <w:color w:val="000000" w:themeColor="text1"/>
                <w:szCs w:val="16"/>
              </w:rPr>
              <w:t>29.18</w:t>
            </w:r>
          </w:p>
        </w:tc>
        <w:tc>
          <w:tcPr>
            <w:tcW w:w="517" w:type="pct"/>
            <w:shd w:val="clear" w:color="auto" w:fill="auto"/>
            <w:vAlign w:val="center"/>
          </w:tcPr>
          <w:p w14:paraId="06F1CF5C" w14:textId="7AA9C548"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shd w:val="clear" w:color="auto" w:fill="auto"/>
            <w:vAlign w:val="center"/>
          </w:tcPr>
          <w:p w14:paraId="05AC9F1E" w14:textId="1D3DD5BD" w:rsidR="00E22739" w:rsidRPr="00781112" w:rsidRDefault="00E22739" w:rsidP="00E22739">
            <w:pPr>
              <w:jc w:val="center"/>
              <w:rPr>
                <w:rFonts w:cs="Arial"/>
                <w:color w:val="000000" w:themeColor="text1"/>
                <w:szCs w:val="16"/>
              </w:rPr>
            </w:pPr>
            <w:r w:rsidRPr="00781112">
              <w:rPr>
                <w:rFonts w:cs="Arial"/>
                <w:color w:val="000000" w:themeColor="text1"/>
                <w:szCs w:val="16"/>
              </w:rPr>
              <w:t>Slippage</w:t>
            </w:r>
          </w:p>
        </w:tc>
      </w:tr>
    </w:tbl>
    <w:p w14:paraId="40493524" w14:textId="77777777" w:rsidR="00DD5B7A" w:rsidRPr="00781112" w:rsidRDefault="00DD5B7A" w:rsidP="00DD5B7A">
      <w:pPr>
        <w:rPr>
          <w:b/>
          <w:color w:val="000000" w:themeColor="text1"/>
        </w:rPr>
      </w:pPr>
      <w:r w:rsidRPr="00781112">
        <w:rPr>
          <w:b/>
          <w:color w:val="000000" w:themeColor="text1"/>
        </w:rPr>
        <w:t>Provide reasons for slippage for Group C, if applicable</w:t>
      </w:r>
    </w:p>
    <w:p w14:paraId="5388895B" w14:textId="46419D14" w:rsidR="00DD5B7A" w:rsidRPr="00781112" w:rsidRDefault="00DD5B7A" w:rsidP="00DD5B7A">
      <w:pPr>
        <w:rPr>
          <w:rFonts w:cs="Arial"/>
          <w:color w:val="000000" w:themeColor="text1"/>
          <w:szCs w:val="16"/>
        </w:rPr>
      </w:pPr>
      <w:r w:rsidRPr="00781112">
        <w:rPr>
          <w:rFonts w:cs="Arial"/>
          <w:color w:val="000000" w:themeColor="text1"/>
          <w:szCs w:val="16"/>
        </w:rPr>
        <w:t>The state does not have a verified explanation for slippage in the proficiency gap between students with disabilities and all students. The state needs more time to analyze the data to understand why the gap increased in FFY 2021. The rates are closer to pre-pandemic historical trends, suggesting that the baseline year for this indicator was anomalous, potentially forcing targets and baseline to be reset in the next year or two if the gap does not improve.</w:t>
      </w:r>
    </w:p>
    <w:p w14:paraId="006E999D" w14:textId="77777777" w:rsidR="00DD5B7A" w:rsidRPr="00781112" w:rsidRDefault="00DD5B7A" w:rsidP="00DD5B7A">
      <w:pPr>
        <w:spacing w:before="0" w:after="200" w:line="276" w:lineRule="auto"/>
        <w:rPr>
          <w:b/>
          <w:color w:val="000000" w:themeColor="text1"/>
        </w:rPr>
      </w:pPr>
    </w:p>
    <w:p w14:paraId="2E07CCBD" w14:textId="0F403D2D" w:rsidR="00DD5B7A" w:rsidRPr="00781112" w:rsidRDefault="0047313F" w:rsidP="00DD5B7A">
      <w:pPr>
        <w:rPr>
          <w:b/>
          <w:color w:val="000000" w:themeColor="text1"/>
        </w:rPr>
      </w:pPr>
      <w:r>
        <w:rPr>
          <w:b/>
          <w:color w:val="000000" w:themeColor="text1"/>
        </w:rPr>
        <w:t>FFY 2021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FA33C9" w:rsidRPr="00781112" w14:paraId="6355AB57" w14:textId="77777777" w:rsidTr="001B7E95">
        <w:trPr>
          <w:tblHeader/>
        </w:trPr>
        <w:tc>
          <w:tcPr>
            <w:tcW w:w="331" w:type="pct"/>
            <w:shd w:val="clear" w:color="auto" w:fill="auto"/>
            <w:vAlign w:val="bottom"/>
          </w:tcPr>
          <w:p w14:paraId="7C464B0B"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2FB9EF47" w14:textId="77777777" w:rsidR="00FA33C9" w:rsidRPr="00781112" w:rsidRDefault="00FA33C9" w:rsidP="00FA33C9">
            <w:pPr>
              <w:jc w:val="center"/>
              <w:rPr>
                <w:b/>
                <w:color w:val="000000" w:themeColor="text1"/>
              </w:rPr>
            </w:pPr>
            <w:r w:rsidRPr="00781112">
              <w:rPr>
                <w:b/>
                <w:color w:val="000000" w:themeColor="text1"/>
              </w:rPr>
              <w:t>Group Name</w:t>
            </w:r>
          </w:p>
        </w:tc>
        <w:tc>
          <w:tcPr>
            <w:tcW w:w="834" w:type="pct"/>
            <w:shd w:val="clear" w:color="auto" w:fill="auto"/>
            <w:vAlign w:val="bottom"/>
          </w:tcPr>
          <w:p w14:paraId="0B1D45D9" w14:textId="51C28093"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shd w:val="clear" w:color="auto" w:fill="auto"/>
            <w:vAlign w:val="bottom"/>
          </w:tcPr>
          <w:p w14:paraId="7D0D3B25" w14:textId="708C001A"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shd w:val="clear" w:color="auto" w:fill="auto"/>
            <w:vAlign w:val="bottom"/>
          </w:tcPr>
          <w:p w14:paraId="7FA2E5CF" w14:textId="2E7796A1" w:rsidR="00FA33C9" w:rsidRPr="00073BD7" w:rsidRDefault="00FA33C9" w:rsidP="00FA33C9">
            <w:pPr>
              <w:jc w:val="center"/>
              <w:rPr>
                <w:b/>
                <w:bCs/>
                <w:color w:val="000000" w:themeColor="text1"/>
              </w:rPr>
            </w:pPr>
            <w:r w:rsidRPr="00073BD7">
              <w:rPr>
                <w:b/>
                <w:bCs/>
              </w:rPr>
              <w:t>FFY 2020 Data</w:t>
            </w:r>
          </w:p>
        </w:tc>
        <w:tc>
          <w:tcPr>
            <w:tcW w:w="508" w:type="pct"/>
            <w:shd w:val="clear" w:color="auto" w:fill="auto"/>
            <w:vAlign w:val="bottom"/>
          </w:tcPr>
          <w:p w14:paraId="275741A5" w14:textId="3CDA6991" w:rsidR="00FA33C9" w:rsidRPr="00073BD7" w:rsidRDefault="00FA33C9" w:rsidP="00FA33C9">
            <w:pPr>
              <w:jc w:val="center"/>
              <w:rPr>
                <w:b/>
                <w:bCs/>
                <w:color w:val="000000" w:themeColor="text1"/>
              </w:rPr>
            </w:pPr>
            <w:r w:rsidRPr="00073BD7">
              <w:rPr>
                <w:b/>
                <w:bCs/>
              </w:rPr>
              <w:t>FFY 2021 Target</w:t>
            </w:r>
          </w:p>
        </w:tc>
        <w:tc>
          <w:tcPr>
            <w:tcW w:w="508" w:type="pct"/>
            <w:shd w:val="clear" w:color="auto" w:fill="auto"/>
            <w:vAlign w:val="bottom"/>
          </w:tcPr>
          <w:p w14:paraId="597E0BC4" w14:textId="2210B9AB" w:rsidR="00FA33C9" w:rsidRPr="00073BD7" w:rsidRDefault="00FA33C9" w:rsidP="00FA33C9">
            <w:pPr>
              <w:jc w:val="center"/>
              <w:rPr>
                <w:b/>
                <w:bCs/>
                <w:color w:val="000000" w:themeColor="text1"/>
              </w:rPr>
            </w:pPr>
            <w:r w:rsidRPr="00073BD7">
              <w:rPr>
                <w:b/>
                <w:bCs/>
              </w:rPr>
              <w:t>FFY 2021 Data</w:t>
            </w:r>
          </w:p>
        </w:tc>
        <w:tc>
          <w:tcPr>
            <w:tcW w:w="508" w:type="pct"/>
            <w:shd w:val="clear" w:color="auto" w:fill="auto"/>
            <w:vAlign w:val="bottom"/>
          </w:tcPr>
          <w:p w14:paraId="53963A37" w14:textId="77777777" w:rsidR="00FA33C9" w:rsidRPr="00781112" w:rsidRDefault="00FA33C9" w:rsidP="00FA33C9">
            <w:pPr>
              <w:jc w:val="center"/>
              <w:rPr>
                <w:b/>
                <w:color w:val="000000" w:themeColor="text1"/>
              </w:rPr>
            </w:pPr>
            <w:r w:rsidRPr="00781112">
              <w:rPr>
                <w:b/>
                <w:color w:val="000000" w:themeColor="text1"/>
              </w:rPr>
              <w:t>Status</w:t>
            </w:r>
          </w:p>
        </w:tc>
        <w:tc>
          <w:tcPr>
            <w:tcW w:w="508" w:type="pct"/>
            <w:shd w:val="clear" w:color="auto" w:fill="auto"/>
            <w:vAlign w:val="bottom"/>
          </w:tcPr>
          <w:p w14:paraId="45442BEB" w14:textId="77777777" w:rsidR="00FA33C9" w:rsidRPr="00781112" w:rsidRDefault="00FA33C9" w:rsidP="00FA33C9">
            <w:pPr>
              <w:jc w:val="center"/>
              <w:rPr>
                <w:b/>
                <w:color w:val="000000" w:themeColor="text1"/>
              </w:rPr>
            </w:pPr>
            <w:r w:rsidRPr="00781112">
              <w:rPr>
                <w:b/>
                <w:color w:val="000000" w:themeColor="text1"/>
              </w:rPr>
              <w:t>Slippage</w:t>
            </w:r>
          </w:p>
        </w:tc>
      </w:tr>
      <w:tr w:rsidR="00C95D2E" w:rsidRPr="00781112" w14:paraId="37123996" w14:textId="77777777" w:rsidTr="001B7E95">
        <w:tc>
          <w:tcPr>
            <w:tcW w:w="331" w:type="pct"/>
            <w:shd w:val="clear" w:color="auto" w:fill="auto"/>
            <w:vAlign w:val="center"/>
          </w:tcPr>
          <w:p w14:paraId="689B01B1"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1D9CE262" w14:textId="508A4023"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26A57F7A" w14:textId="09E9CA5E" w:rsidR="002A19C8" w:rsidRPr="00781112" w:rsidRDefault="002A19C8" w:rsidP="002A19C8">
            <w:pPr>
              <w:jc w:val="center"/>
              <w:rPr>
                <w:rFonts w:cs="Arial"/>
                <w:color w:val="000000" w:themeColor="text1"/>
                <w:szCs w:val="16"/>
              </w:rPr>
            </w:pPr>
            <w:r w:rsidRPr="00781112">
              <w:rPr>
                <w:rFonts w:cs="Arial"/>
                <w:color w:val="000000"/>
                <w:szCs w:val="16"/>
              </w:rPr>
              <w:t>14.94%</w:t>
            </w:r>
          </w:p>
        </w:tc>
        <w:tc>
          <w:tcPr>
            <w:tcW w:w="834" w:type="pct"/>
            <w:shd w:val="clear" w:color="auto" w:fill="auto"/>
            <w:vAlign w:val="center"/>
          </w:tcPr>
          <w:p w14:paraId="361835CD" w14:textId="59029D06" w:rsidR="002A19C8" w:rsidRPr="00781112" w:rsidRDefault="002A19C8" w:rsidP="002A19C8">
            <w:pPr>
              <w:jc w:val="center"/>
              <w:rPr>
                <w:rFonts w:cs="Arial"/>
                <w:color w:val="000000" w:themeColor="text1"/>
                <w:szCs w:val="16"/>
              </w:rPr>
            </w:pPr>
            <w:r w:rsidRPr="00781112">
              <w:rPr>
                <w:rFonts w:cs="Arial"/>
                <w:color w:val="000000" w:themeColor="text1"/>
                <w:szCs w:val="16"/>
              </w:rPr>
              <w:t>32.97%</w:t>
            </w:r>
          </w:p>
        </w:tc>
        <w:tc>
          <w:tcPr>
            <w:tcW w:w="508" w:type="pct"/>
            <w:shd w:val="clear" w:color="auto" w:fill="auto"/>
            <w:vAlign w:val="center"/>
          </w:tcPr>
          <w:p w14:paraId="59D4C214" w14:textId="5AA8261A" w:rsidR="002A19C8" w:rsidRPr="00781112" w:rsidRDefault="002A19C8" w:rsidP="002A19C8">
            <w:pPr>
              <w:jc w:val="center"/>
              <w:rPr>
                <w:rFonts w:cs="Arial"/>
                <w:color w:val="000000" w:themeColor="text1"/>
                <w:szCs w:val="16"/>
              </w:rPr>
            </w:pPr>
            <w:r w:rsidRPr="00781112">
              <w:rPr>
                <w:rFonts w:cs="Arial"/>
                <w:color w:val="000000" w:themeColor="text1"/>
                <w:szCs w:val="16"/>
              </w:rPr>
              <w:t>16.55</w:t>
            </w:r>
          </w:p>
        </w:tc>
        <w:tc>
          <w:tcPr>
            <w:tcW w:w="508" w:type="pct"/>
            <w:shd w:val="clear" w:color="auto" w:fill="auto"/>
            <w:vAlign w:val="center"/>
          </w:tcPr>
          <w:p w14:paraId="5226537A" w14:textId="04AA78B1" w:rsidR="002A19C8" w:rsidRPr="00781112" w:rsidRDefault="002A19C8" w:rsidP="002A19C8">
            <w:pPr>
              <w:jc w:val="center"/>
              <w:rPr>
                <w:rFonts w:cs="Arial"/>
                <w:color w:val="000000" w:themeColor="text1"/>
                <w:szCs w:val="16"/>
              </w:rPr>
            </w:pPr>
            <w:r w:rsidRPr="00781112">
              <w:rPr>
                <w:rFonts w:cs="Arial"/>
                <w:color w:val="000000" w:themeColor="text1"/>
                <w:szCs w:val="16"/>
              </w:rPr>
              <w:t>15.55</w:t>
            </w:r>
          </w:p>
        </w:tc>
        <w:tc>
          <w:tcPr>
            <w:tcW w:w="508" w:type="pct"/>
            <w:shd w:val="clear" w:color="auto" w:fill="auto"/>
            <w:vAlign w:val="center"/>
          </w:tcPr>
          <w:p w14:paraId="235D63D6" w14:textId="6BEC0204" w:rsidR="002A19C8" w:rsidRPr="00781112" w:rsidRDefault="002A19C8" w:rsidP="002A19C8">
            <w:pPr>
              <w:jc w:val="center"/>
              <w:rPr>
                <w:rFonts w:cs="Arial"/>
                <w:color w:val="000000" w:themeColor="text1"/>
                <w:szCs w:val="16"/>
              </w:rPr>
            </w:pPr>
            <w:r w:rsidRPr="00781112">
              <w:rPr>
                <w:rFonts w:cs="Arial"/>
                <w:color w:val="000000" w:themeColor="text1"/>
                <w:szCs w:val="16"/>
              </w:rPr>
              <w:t>18.03</w:t>
            </w:r>
          </w:p>
        </w:tc>
        <w:tc>
          <w:tcPr>
            <w:tcW w:w="508" w:type="pct"/>
            <w:shd w:val="clear" w:color="auto" w:fill="auto"/>
            <w:vAlign w:val="center"/>
          </w:tcPr>
          <w:p w14:paraId="50CBCD87" w14:textId="7E9D9F0C"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shd w:val="clear" w:color="auto" w:fill="auto"/>
            <w:vAlign w:val="center"/>
          </w:tcPr>
          <w:p w14:paraId="35988424" w14:textId="54CE90DF" w:rsidR="002A19C8" w:rsidRPr="00781112" w:rsidRDefault="002A19C8" w:rsidP="002A19C8">
            <w:pPr>
              <w:jc w:val="center"/>
              <w:rPr>
                <w:rFonts w:cs="Arial"/>
                <w:color w:val="000000" w:themeColor="text1"/>
                <w:szCs w:val="16"/>
              </w:rPr>
            </w:pPr>
            <w:r w:rsidRPr="00781112">
              <w:rPr>
                <w:rFonts w:cs="Arial"/>
                <w:color w:val="000000" w:themeColor="text1"/>
                <w:szCs w:val="16"/>
              </w:rPr>
              <w:t>Slippage</w:t>
            </w:r>
          </w:p>
        </w:tc>
      </w:tr>
      <w:tr w:rsidR="00C95D2E" w:rsidRPr="00781112" w14:paraId="0DE5EFED" w14:textId="77777777" w:rsidTr="001B7E95">
        <w:tc>
          <w:tcPr>
            <w:tcW w:w="331" w:type="pct"/>
            <w:shd w:val="clear" w:color="auto" w:fill="auto"/>
            <w:vAlign w:val="center"/>
          </w:tcPr>
          <w:p w14:paraId="51380788"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6D85D6A7" w14:textId="5558F45F"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4288B43D" w14:textId="3B77409B" w:rsidR="002A19C8" w:rsidRPr="00781112" w:rsidRDefault="002A19C8" w:rsidP="002A19C8">
            <w:pPr>
              <w:jc w:val="center"/>
              <w:rPr>
                <w:rFonts w:cs="Arial"/>
                <w:color w:val="000000" w:themeColor="text1"/>
                <w:szCs w:val="16"/>
              </w:rPr>
            </w:pPr>
            <w:r w:rsidRPr="00781112">
              <w:rPr>
                <w:rFonts w:cs="Arial"/>
                <w:color w:val="000000"/>
                <w:szCs w:val="16"/>
              </w:rPr>
              <w:t>2.85%</w:t>
            </w:r>
          </w:p>
        </w:tc>
        <w:tc>
          <w:tcPr>
            <w:tcW w:w="834" w:type="pct"/>
            <w:shd w:val="clear" w:color="auto" w:fill="auto"/>
            <w:vAlign w:val="center"/>
          </w:tcPr>
          <w:p w14:paraId="11774D79" w14:textId="6519EED1" w:rsidR="002A19C8" w:rsidRPr="00781112" w:rsidRDefault="002A19C8" w:rsidP="002A19C8">
            <w:pPr>
              <w:jc w:val="center"/>
              <w:rPr>
                <w:rFonts w:cs="Arial"/>
                <w:color w:val="000000" w:themeColor="text1"/>
                <w:szCs w:val="16"/>
              </w:rPr>
            </w:pPr>
            <w:r w:rsidRPr="00781112">
              <w:rPr>
                <w:rFonts w:cs="Arial"/>
                <w:color w:val="000000" w:themeColor="text1"/>
                <w:szCs w:val="16"/>
              </w:rPr>
              <w:t>15.75%</w:t>
            </w:r>
          </w:p>
        </w:tc>
        <w:tc>
          <w:tcPr>
            <w:tcW w:w="508" w:type="pct"/>
            <w:shd w:val="clear" w:color="auto" w:fill="auto"/>
            <w:vAlign w:val="center"/>
          </w:tcPr>
          <w:p w14:paraId="28E3CF1C" w14:textId="69751C29" w:rsidR="002A19C8" w:rsidRPr="00781112" w:rsidRDefault="002A19C8" w:rsidP="002A19C8">
            <w:pPr>
              <w:jc w:val="center"/>
              <w:rPr>
                <w:rFonts w:cs="Arial"/>
                <w:color w:val="000000" w:themeColor="text1"/>
                <w:szCs w:val="16"/>
              </w:rPr>
            </w:pPr>
            <w:r w:rsidRPr="00781112">
              <w:rPr>
                <w:rFonts w:cs="Arial"/>
                <w:color w:val="000000" w:themeColor="text1"/>
                <w:szCs w:val="16"/>
              </w:rPr>
              <w:t>11.10</w:t>
            </w:r>
          </w:p>
        </w:tc>
        <w:tc>
          <w:tcPr>
            <w:tcW w:w="508" w:type="pct"/>
            <w:shd w:val="clear" w:color="auto" w:fill="auto"/>
            <w:vAlign w:val="center"/>
          </w:tcPr>
          <w:p w14:paraId="468D28D5" w14:textId="3BD9025E" w:rsidR="002A19C8" w:rsidRPr="00781112" w:rsidRDefault="002A19C8" w:rsidP="002A19C8">
            <w:pPr>
              <w:jc w:val="center"/>
              <w:rPr>
                <w:rFonts w:cs="Arial"/>
                <w:color w:val="000000" w:themeColor="text1"/>
                <w:szCs w:val="16"/>
              </w:rPr>
            </w:pPr>
            <w:r w:rsidRPr="00781112">
              <w:rPr>
                <w:rFonts w:cs="Arial"/>
                <w:color w:val="000000" w:themeColor="text1"/>
                <w:szCs w:val="16"/>
              </w:rPr>
              <w:t>10.10</w:t>
            </w:r>
          </w:p>
        </w:tc>
        <w:tc>
          <w:tcPr>
            <w:tcW w:w="508" w:type="pct"/>
            <w:shd w:val="clear" w:color="auto" w:fill="auto"/>
            <w:vAlign w:val="center"/>
          </w:tcPr>
          <w:p w14:paraId="30644E0B" w14:textId="37C215BA" w:rsidR="002A19C8" w:rsidRPr="00781112" w:rsidRDefault="002A19C8" w:rsidP="002A19C8">
            <w:pPr>
              <w:jc w:val="center"/>
              <w:rPr>
                <w:rFonts w:cs="Arial"/>
                <w:color w:val="000000" w:themeColor="text1"/>
                <w:szCs w:val="16"/>
              </w:rPr>
            </w:pPr>
            <w:r w:rsidRPr="00781112">
              <w:rPr>
                <w:rFonts w:cs="Arial"/>
                <w:color w:val="000000" w:themeColor="text1"/>
                <w:szCs w:val="16"/>
              </w:rPr>
              <w:t>12.89</w:t>
            </w:r>
          </w:p>
        </w:tc>
        <w:tc>
          <w:tcPr>
            <w:tcW w:w="508" w:type="pct"/>
            <w:shd w:val="clear" w:color="auto" w:fill="auto"/>
            <w:vAlign w:val="center"/>
          </w:tcPr>
          <w:p w14:paraId="1312CD99" w14:textId="5541B25D"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shd w:val="clear" w:color="auto" w:fill="auto"/>
            <w:vAlign w:val="center"/>
          </w:tcPr>
          <w:p w14:paraId="536612A4" w14:textId="60F48CB2" w:rsidR="002A19C8" w:rsidRPr="00781112" w:rsidRDefault="002A19C8" w:rsidP="002A19C8">
            <w:pPr>
              <w:jc w:val="center"/>
              <w:rPr>
                <w:rFonts w:cs="Arial"/>
                <w:color w:val="000000" w:themeColor="text1"/>
                <w:szCs w:val="16"/>
              </w:rPr>
            </w:pPr>
            <w:r w:rsidRPr="00781112">
              <w:rPr>
                <w:rFonts w:cs="Arial"/>
                <w:color w:val="000000" w:themeColor="text1"/>
                <w:szCs w:val="16"/>
              </w:rPr>
              <w:t>Slippage</w:t>
            </w:r>
          </w:p>
        </w:tc>
      </w:tr>
      <w:tr w:rsidR="00C95D2E" w:rsidRPr="00781112" w14:paraId="36AFD504" w14:textId="77777777" w:rsidTr="001B7E95">
        <w:tc>
          <w:tcPr>
            <w:tcW w:w="331" w:type="pct"/>
            <w:shd w:val="clear" w:color="auto" w:fill="auto"/>
            <w:vAlign w:val="center"/>
          </w:tcPr>
          <w:p w14:paraId="4932227A"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236171D2" w14:textId="335C29F0"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C585469" w14:textId="27CFD453" w:rsidR="002A19C8" w:rsidRPr="00781112" w:rsidRDefault="002A19C8" w:rsidP="002A19C8">
            <w:pPr>
              <w:jc w:val="center"/>
              <w:rPr>
                <w:rFonts w:cs="Arial"/>
                <w:color w:val="000000" w:themeColor="text1"/>
                <w:szCs w:val="16"/>
              </w:rPr>
            </w:pPr>
            <w:r w:rsidRPr="00781112">
              <w:rPr>
                <w:rFonts w:cs="Arial"/>
                <w:color w:val="000000"/>
                <w:szCs w:val="16"/>
              </w:rPr>
              <w:t>3.07%</w:t>
            </w:r>
          </w:p>
        </w:tc>
        <w:tc>
          <w:tcPr>
            <w:tcW w:w="834" w:type="pct"/>
            <w:shd w:val="clear" w:color="auto" w:fill="auto"/>
            <w:vAlign w:val="center"/>
          </w:tcPr>
          <w:p w14:paraId="13AB3928" w14:textId="234CBFA8" w:rsidR="002A19C8" w:rsidRPr="00781112" w:rsidRDefault="002A19C8" w:rsidP="002A19C8">
            <w:pPr>
              <w:jc w:val="center"/>
              <w:rPr>
                <w:rFonts w:cs="Arial"/>
                <w:color w:val="000000" w:themeColor="text1"/>
                <w:szCs w:val="16"/>
              </w:rPr>
            </w:pPr>
            <w:r w:rsidRPr="00781112">
              <w:rPr>
                <w:rFonts w:cs="Arial"/>
                <w:color w:val="000000" w:themeColor="text1"/>
                <w:szCs w:val="16"/>
              </w:rPr>
              <w:t>19.23%</w:t>
            </w:r>
          </w:p>
        </w:tc>
        <w:tc>
          <w:tcPr>
            <w:tcW w:w="508" w:type="pct"/>
            <w:shd w:val="clear" w:color="auto" w:fill="auto"/>
            <w:vAlign w:val="center"/>
          </w:tcPr>
          <w:p w14:paraId="2ABC747F" w14:textId="158D9570" w:rsidR="002A19C8" w:rsidRPr="00781112" w:rsidRDefault="002A19C8" w:rsidP="002A19C8">
            <w:pPr>
              <w:jc w:val="center"/>
              <w:rPr>
                <w:rFonts w:cs="Arial"/>
                <w:color w:val="000000" w:themeColor="text1"/>
                <w:szCs w:val="16"/>
              </w:rPr>
            </w:pPr>
            <w:r w:rsidRPr="00781112">
              <w:rPr>
                <w:rFonts w:cs="Arial"/>
                <w:color w:val="000000" w:themeColor="text1"/>
                <w:szCs w:val="16"/>
              </w:rPr>
              <w:t>16.65</w:t>
            </w:r>
          </w:p>
        </w:tc>
        <w:tc>
          <w:tcPr>
            <w:tcW w:w="508" w:type="pct"/>
            <w:shd w:val="clear" w:color="auto" w:fill="auto"/>
            <w:vAlign w:val="center"/>
          </w:tcPr>
          <w:p w14:paraId="1ACDF21F" w14:textId="6248B4E9" w:rsidR="002A19C8" w:rsidRPr="00781112" w:rsidRDefault="002A19C8" w:rsidP="002A19C8">
            <w:pPr>
              <w:jc w:val="center"/>
              <w:rPr>
                <w:rFonts w:cs="Arial"/>
                <w:color w:val="000000" w:themeColor="text1"/>
                <w:szCs w:val="16"/>
              </w:rPr>
            </w:pPr>
            <w:r w:rsidRPr="00781112">
              <w:rPr>
                <w:rFonts w:cs="Arial"/>
                <w:color w:val="000000" w:themeColor="text1"/>
                <w:szCs w:val="16"/>
              </w:rPr>
              <w:t>15.66</w:t>
            </w:r>
          </w:p>
        </w:tc>
        <w:tc>
          <w:tcPr>
            <w:tcW w:w="508" w:type="pct"/>
            <w:shd w:val="clear" w:color="auto" w:fill="auto"/>
            <w:vAlign w:val="center"/>
          </w:tcPr>
          <w:p w14:paraId="69CE5BC3" w14:textId="39D166D6" w:rsidR="002A19C8" w:rsidRPr="00781112" w:rsidRDefault="002A19C8" w:rsidP="002A19C8">
            <w:pPr>
              <w:jc w:val="center"/>
              <w:rPr>
                <w:rFonts w:cs="Arial"/>
                <w:color w:val="000000" w:themeColor="text1"/>
                <w:szCs w:val="16"/>
              </w:rPr>
            </w:pPr>
            <w:r w:rsidRPr="00781112">
              <w:rPr>
                <w:rFonts w:cs="Arial"/>
                <w:color w:val="000000" w:themeColor="text1"/>
                <w:szCs w:val="16"/>
              </w:rPr>
              <w:t>16.16</w:t>
            </w:r>
          </w:p>
        </w:tc>
        <w:tc>
          <w:tcPr>
            <w:tcW w:w="508" w:type="pct"/>
            <w:shd w:val="clear" w:color="auto" w:fill="auto"/>
            <w:vAlign w:val="center"/>
          </w:tcPr>
          <w:p w14:paraId="2CA33323" w14:textId="59FD6DC7"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shd w:val="clear" w:color="auto" w:fill="auto"/>
            <w:vAlign w:val="center"/>
          </w:tcPr>
          <w:p w14:paraId="0BEDA3C1" w14:textId="6A01F324"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bl>
    <w:p w14:paraId="128BD33F" w14:textId="79412CBF" w:rsidR="00DD5B7A" w:rsidRPr="00781112" w:rsidRDefault="00DD5B7A" w:rsidP="00DD5B7A">
      <w:pPr>
        <w:rPr>
          <w:b/>
          <w:color w:val="000000" w:themeColor="text1"/>
        </w:rPr>
      </w:pPr>
      <w:r w:rsidRPr="00781112">
        <w:rPr>
          <w:b/>
          <w:color w:val="000000" w:themeColor="text1"/>
        </w:rPr>
        <w:t>Provide reasons for slippage for Group A, if applicable</w:t>
      </w:r>
    </w:p>
    <w:p w14:paraId="1933D4BB" w14:textId="701E9B2A" w:rsidR="00DD5B7A" w:rsidRPr="00781112" w:rsidRDefault="00DD5B7A" w:rsidP="00DD5B7A">
      <w:pPr>
        <w:rPr>
          <w:rFonts w:cs="Arial"/>
          <w:color w:val="000000" w:themeColor="text1"/>
          <w:szCs w:val="16"/>
        </w:rPr>
      </w:pPr>
      <w:r w:rsidRPr="00781112">
        <w:rPr>
          <w:rFonts w:cs="Arial"/>
          <w:color w:val="000000" w:themeColor="text1"/>
          <w:szCs w:val="16"/>
        </w:rPr>
        <w:t>The state does not have a verified explanation for slippage in the proficiency gap between students with disabilities and all students. The state needs more time to analyze the data to understand why the gap increased in FFY 2021. The rates are closer to pre-pandemic historical trends, suggesting that the baseline year for this indicator was anomalous, potentially forcing targets and baseline to be reset in the next year or two if the gap does not improve.</w:t>
      </w:r>
    </w:p>
    <w:p w14:paraId="4067963A" w14:textId="77777777" w:rsidR="00DD5B7A" w:rsidRPr="00781112" w:rsidRDefault="00DD5B7A" w:rsidP="00DD5B7A">
      <w:pPr>
        <w:rPr>
          <w:b/>
          <w:color w:val="000000" w:themeColor="text1"/>
        </w:rPr>
      </w:pPr>
      <w:r w:rsidRPr="00781112">
        <w:rPr>
          <w:b/>
          <w:color w:val="000000" w:themeColor="text1"/>
        </w:rPr>
        <w:t>Provide reasons for slippage for Group B, if applicable</w:t>
      </w:r>
    </w:p>
    <w:p w14:paraId="60FB05E9" w14:textId="1D3AC0FD" w:rsidR="00DD5B7A" w:rsidRPr="00781112" w:rsidRDefault="00DD5B7A" w:rsidP="00DD5B7A">
      <w:pPr>
        <w:rPr>
          <w:rFonts w:cs="Arial"/>
          <w:color w:val="000000" w:themeColor="text1"/>
          <w:szCs w:val="16"/>
        </w:rPr>
      </w:pPr>
      <w:r w:rsidRPr="00781112">
        <w:rPr>
          <w:rFonts w:cs="Arial"/>
          <w:color w:val="000000" w:themeColor="text1"/>
          <w:szCs w:val="16"/>
        </w:rPr>
        <w:t>The state does not have a verified explanation for slippage in the proficiency gap between students with disabilities and all students. The state needs more time to analyze the data to understand why the gap increased in FFY 2021. The rates are closer to pre-pandemic historical trends, suggesting that the baseline year for this indicator was anomalous, potentially forcing targets and baseline to be reset in the next year or two if the gap does not improve.</w:t>
      </w:r>
    </w:p>
    <w:p w14:paraId="67B1DC74" w14:textId="77777777" w:rsidR="00DD5B7A" w:rsidRPr="00781112" w:rsidRDefault="00DD5B7A" w:rsidP="00DD5B7A">
      <w:pPr>
        <w:spacing w:before="0" w:after="200" w:line="276" w:lineRule="auto"/>
        <w:rPr>
          <w:b/>
          <w:color w:val="000000" w:themeColor="text1"/>
        </w:rPr>
      </w:pPr>
    </w:p>
    <w:p w14:paraId="2FF851DB"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646908D0" w14:textId="2EB40E98" w:rsidR="00DD5B7A" w:rsidRPr="00781112" w:rsidRDefault="00DD5B7A" w:rsidP="00DD5B7A">
      <w:pPr>
        <w:rPr>
          <w:rFonts w:cs="Arial"/>
          <w:color w:val="000000" w:themeColor="text1"/>
          <w:szCs w:val="16"/>
        </w:rPr>
      </w:pPr>
    </w:p>
    <w:p w14:paraId="2ABFD82D" w14:textId="77777777" w:rsidR="00764DDE" w:rsidRPr="00781112" w:rsidRDefault="00764DDE" w:rsidP="00764DDE">
      <w:pPr>
        <w:spacing w:before="0" w:after="200" w:line="276" w:lineRule="auto"/>
        <w:rPr>
          <w:color w:val="000000" w:themeColor="text1"/>
          <w:szCs w:val="16"/>
        </w:rPr>
      </w:pPr>
    </w:p>
    <w:p w14:paraId="1CD50F37" w14:textId="6334E2E5" w:rsidR="00764DDE" w:rsidRPr="00781112" w:rsidRDefault="00764DDE" w:rsidP="00764DDE">
      <w:pPr>
        <w:pStyle w:val="Heading2"/>
      </w:pPr>
      <w:r w:rsidRPr="00781112">
        <w:t>3D - Prior FFY Required Actions</w:t>
      </w:r>
    </w:p>
    <w:p w14:paraId="34B574CB" w14:textId="14B02F6F" w:rsidR="00764DDE" w:rsidRPr="00781112" w:rsidRDefault="00764DDE" w:rsidP="00764DDE">
      <w:pPr>
        <w:rPr>
          <w:rFonts w:cs="Arial"/>
          <w:color w:val="000000" w:themeColor="text1"/>
          <w:szCs w:val="16"/>
        </w:rPr>
      </w:pPr>
      <w:r w:rsidRPr="00781112">
        <w:rPr>
          <w:rFonts w:cs="Arial"/>
          <w:color w:val="000000" w:themeColor="text1"/>
          <w:szCs w:val="16"/>
        </w:rPr>
        <w:t>None</w:t>
      </w:r>
    </w:p>
    <w:p w14:paraId="02AADAEE" w14:textId="09BE2C66" w:rsidR="00764DDE" w:rsidRPr="00781112" w:rsidRDefault="00764DDE" w:rsidP="00764DDE">
      <w:pPr>
        <w:pStyle w:val="Heading2"/>
      </w:pPr>
      <w:r w:rsidRPr="00781112">
        <w:t>3D - OSEP Response</w:t>
      </w:r>
    </w:p>
    <w:p w14:paraId="6F9D8957" w14:textId="2AADB119" w:rsidR="00764DDE" w:rsidRPr="00781112" w:rsidRDefault="00764DDE" w:rsidP="00764DDE">
      <w:pPr>
        <w:rPr>
          <w:rFonts w:cs="Arial"/>
          <w:color w:val="000000" w:themeColor="text1"/>
          <w:szCs w:val="16"/>
        </w:rPr>
      </w:pPr>
      <w:r w:rsidRPr="00781112">
        <w:rPr>
          <w:rFonts w:cs="Arial"/>
          <w:color w:val="000000" w:themeColor="text1"/>
          <w:szCs w:val="16"/>
          <w:shd w:val="clear" w:color="auto" w:fill="FFFFFF"/>
        </w:rPr>
        <w:t>The State provided FFY 2021 through FFY 2025 targets for this indicator, and OSEP accepts those targets.</w:t>
      </w:r>
    </w:p>
    <w:p w14:paraId="09AAC73F" w14:textId="7E96F305" w:rsidR="00764DDE" w:rsidRPr="00781112" w:rsidRDefault="00764DDE" w:rsidP="00764DDE">
      <w:pPr>
        <w:pStyle w:val="Heading2"/>
      </w:pPr>
      <w:r w:rsidRPr="00781112">
        <w:t>3D - Required Actions</w:t>
      </w:r>
    </w:p>
    <w:p w14:paraId="77AA7102" w14:textId="5725FBB6" w:rsidR="00764DDE" w:rsidRPr="00781112" w:rsidRDefault="00764DDE" w:rsidP="00764DDE">
      <w:pPr>
        <w:rPr>
          <w:rFonts w:cs="Arial"/>
          <w:color w:val="000000" w:themeColor="text1"/>
          <w:szCs w:val="16"/>
        </w:rPr>
      </w:pPr>
    </w:p>
    <w:p w14:paraId="72857535"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br w:type="page"/>
      </w:r>
    </w:p>
    <w:p w14:paraId="1E2B07DD" w14:textId="7F0EB6BD" w:rsidR="00D03701" w:rsidRPr="00781112" w:rsidRDefault="00D03701" w:rsidP="000444E2">
      <w:pPr>
        <w:pStyle w:val="Heading1"/>
        <w:rPr>
          <w:color w:val="000000" w:themeColor="text1"/>
          <w:sz w:val="22"/>
        </w:rPr>
      </w:pPr>
      <w:r w:rsidRPr="00781112">
        <w:rPr>
          <w:color w:val="000000" w:themeColor="text1"/>
          <w:sz w:val="22"/>
        </w:rPr>
        <w:lastRenderedPageBreak/>
        <w:t>Indicator 4A: Suspension/Expulsion</w:t>
      </w:r>
      <w:bookmarkEnd w:id="17"/>
      <w:bookmarkEnd w:id="18"/>
    </w:p>
    <w:p w14:paraId="6B24B370" w14:textId="77777777" w:rsidR="006E5AE4" w:rsidRPr="00781112" w:rsidRDefault="006E5AE4" w:rsidP="00A018D4">
      <w:pPr>
        <w:rPr>
          <w:color w:val="000000" w:themeColor="text1"/>
          <w:szCs w:val="20"/>
        </w:rPr>
      </w:pPr>
      <w:bookmarkStart w:id="20" w:name="_Toc384383331"/>
      <w:bookmarkStart w:id="21" w:name="_Toc392159283"/>
      <w:r w:rsidRPr="00781112">
        <w:rPr>
          <w:b/>
          <w:color w:val="000000" w:themeColor="text1"/>
          <w:sz w:val="20"/>
          <w:szCs w:val="20"/>
        </w:rPr>
        <w:t xml:space="preserve">Instructions and Measurement </w:t>
      </w:r>
    </w:p>
    <w:p w14:paraId="73D979E8" w14:textId="6D1D1338"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1281AA40" w14:textId="5BDAB0D4"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075F6BB9" w14:textId="62CB55C8"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year for children with IEPs</w:t>
      </w:r>
      <w:r w:rsidR="00E97863" w:rsidRPr="00781112">
        <w:rPr>
          <w:color w:val="000000" w:themeColor="text1"/>
        </w:rPr>
        <w:t>; and</w:t>
      </w:r>
    </w:p>
    <w:p w14:paraId="269BA1CE" w14:textId="0C66D8C5"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104900D3" w14:textId="4D6824EB"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09801465" w14:textId="77777777" w:rsidR="000A5A2E" w:rsidRPr="00781112" w:rsidRDefault="000A5A2E" w:rsidP="004369B2">
      <w:pPr>
        <w:rPr>
          <w:color w:val="000000" w:themeColor="text1"/>
        </w:rPr>
      </w:pPr>
      <w:r w:rsidRPr="00781112">
        <w:rPr>
          <w:b/>
          <w:color w:val="000000" w:themeColor="text1"/>
        </w:rPr>
        <w:t>Data Source</w:t>
      </w:r>
    </w:p>
    <w:p w14:paraId="06368193" w14:textId="2006ADF5"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74159870" w14:textId="77777777" w:rsidR="000A5A2E" w:rsidRPr="00781112" w:rsidRDefault="000A5A2E" w:rsidP="004369B2">
      <w:pPr>
        <w:rPr>
          <w:color w:val="000000" w:themeColor="text1"/>
        </w:rPr>
      </w:pPr>
      <w:r w:rsidRPr="00781112">
        <w:rPr>
          <w:b/>
          <w:color w:val="000000" w:themeColor="text1"/>
        </w:rPr>
        <w:t>Measurement</w:t>
      </w:r>
    </w:p>
    <w:p w14:paraId="5CD903C0" w14:textId="4C799C0D"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4D7272B6" w14:textId="2A0B0F5F"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0C71C487" w14:textId="316E6449" w:rsidR="000A5A2E" w:rsidRPr="00781112" w:rsidRDefault="000A5A2E" w:rsidP="004369B2">
      <w:pPr>
        <w:rPr>
          <w:color w:val="000000" w:themeColor="text1"/>
        </w:rPr>
      </w:pPr>
      <w:r w:rsidRPr="00781112">
        <w:rPr>
          <w:b/>
          <w:color w:val="000000" w:themeColor="text1"/>
        </w:rPr>
        <w:t>Instructions</w:t>
      </w:r>
    </w:p>
    <w:p w14:paraId="20DD9B9C" w14:textId="57AEB24A" w:rsidR="000A5A2E" w:rsidRPr="00781112" w:rsidRDefault="00636061" w:rsidP="00BB7BC9">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LEAs that met that State-established n and/or cell size. If the State used a minimum n and/or cell size requirement, report the number of LEAs excluded from the calculation as a result of this requirement.</w:t>
      </w:r>
    </w:p>
    <w:p w14:paraId="3AD8FD7E" w14:textId="47F57D4C"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2021 SPP/APR, use data from 2020-2021),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4D5D1D9E" w14:textId="3C303A84" w:rsidR="00636061" w:rsidRPr="00781112" w:rsidRDefault="006279F2"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671599A1" w14:textId="71D1B673" w:rsidR="00636061" w:rsidRPr="00781112" w:rsidRDefault="006279F2"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to nondisabled children within the LEAs</w:t>
      </w:r>
    </w:p>
    <w:p w14:paraId="64CB6014" w14:textId="58F4D965"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22C5D4B" w14:textId="269C53BA" w:rsidR="004F019B" w:rsidRPr="00781112" w:rsidRDefault="004F019B" w:rsidP="004F019B">
      <w:pPr>
        <w:rPr>
          <w:rFonts w:cs="Arial"/>
          <w:szCs w:val="16"/>
        </w:rPr>
      </w:pPr>
      <w:r w:rsidRPr="00781112">
        <w:rPr>
          <w:rFonts w:cs="Arial"/>
          <w:szCs w:val="16"/>
        </w:rPr>
        <w:t>Because the measurement table requires that the data examined for this indicator are lag year data, States should examine the 618 data that was submitted by LEAs that were in operation during the school year before the reporting year. For example, if a State has 100 LEAs operating in the 2020-2021 school year, those 100 LEAs would have reported 618 data in 2021-2022 on the number of children suspended/expelled. If the State then opens 15 new LEAs in 2021-2022, suspension/expulsion data from those 15 new LEAs would not be in the 2020-2021 618 data set, and therefore, those 15 new LEAs should not be included in the denominator of the calculation. States must use the number of LEAs from the year before the reporting year in its calculation for this indicator. For the FFY 2021 SPP/APR submission, States must use the number of LEAs reported in 2020-2021 (which can be found in the FFY 2020 SPP/APR introduction).</w:t>
      </w:r>
    </w:p>
    <w:p w14:paraId="2CD8E267" w14:textId="0424A1C2" w:rsidR="00636061" w:rsidRPr="00781112" w:rsidRDefault="00636061" w:rsidP="00BB7BC9">
      <w:pPr>
        <w:rPr>
          <w:rFonts w:cs="Arial"/>
          <w:color w:val="000000" w:themeColor="text1"/>
          <w:szCs w:val="16"/>
        </w:rPr>
      </w:pPr>
      <w:r w:rsidRPr="00781112">
        <w:rPr>
          <w:rFonts w:cs="Arial"/>
          <w:color w:val="000000" w:themeColor="text1"/>
          <w:szCs w:val="16"/>
        </w:rPr>
        <w:t>Indicator 4A: Provide the actual numbers used in the calculation (based upon districts 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03BDAB2D" w14:textId="067F0139" w:rsidR="00636061" w:rsidRPr="00781112" w:rsidRDefault="00636061" w:rsidP="00BB7BC9">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 Memorandum 09-02, dated October 17, 2008.</w:t>
      </w:r>
    </w:p>
    <w:p w14:paraId="6D645554" w14:textId="0206229C" w:rsidR="00636061" w:rsidRPr="00781112" w:rsidRDefault="00636061"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406A7CC3" w14:textId="5644C489" w:rsidR="00636061" w:rsidRPr="00781112"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216100ED" w14:textId="6483EA1E" w:rsidR="006E5AE4" w:rsidRPr="00781112" w:rsidRDefault="00697434" w:rsidP="008645AD">
      <w:pPr>
        <w:pStyle w:val="Heading2"/>
      </w:pPr>
      <w:bookmarkStart w:id="22" w:name="_Toc384383332"/>
      <w:bookmarkStart w:id="23" w:name="_Toc392159284"/>
      <w:bookmarkEnd w:id="20"/>
      <w:bookmarkEnd w:id="21"/>
      <w:r w:rsidRPr="00781112">
        <w:t>4A</w:t>
      </w:r>
      <w:r w:rsidR="00DA3C7A" w:rsidRPr="00781112">
        <w:t xml:space="preserve"> </w:t>
      </w:r>
      <w:r w:rsidRPr="00781112">
        <w:t xml:space="preserve">- </w:t>
      </w:r>
      <w:r w:rsidR="006E5AE4" w:rsidRPr="00781112">
        <w:t>Indicator Data</w:t>
      </w:r>
    </w:p>
    <w:p w14:paraId="4E76A356" w14:textId="4BD9398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5B1BF1C8" w14:textId="77777777" w:rsidTr="002B6965">
        <w:trPr>
          <w:trHeight w:val="311"/>
          <w:tblHeader/>
        </w:trPr>
        <w:tc>
          <w:tcPr>
            <w:tcW w:w="2562" w:type="dxa"/>
          </w:tcPr>
          <w:p w14:paraId="3EC58E83"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3BF90404"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5EF83473" w14:textId="77777777" w:rsidTr="002B6965">
        <w:trPr>
          <w:trHeight w:val="311"/>
        </w:trPr>
        <w:tc>
          <w:tcPr>
            <w:tcW w:w="2562" w:type="dxa"/>
            <w:vAlign w:val="center"/>
          </w:tcPr>
          <w:p w14:paraId="5A1767D0" w14:textId="7AC9A457" w:rsidR="002B6965" w:rsidRPr="00781112" w:rsidRDefault="002B6965" w:rsidP="002B6965">
            <w:pPr>
              <w:jc w:val="center"/>
              <w:rPr>
                <w:b/>
                <w:color w:val="000000" w:themeColor="text1"/>
              </w:rPr>
            </w:pPr>
            <w:r w:rsidRPr="00781112">
              <w:rPr>
                <w:rFonts w:cs="Arial"/>
                <w:color w:val="000000" w:themeColor="text1"/>
                <w:szCs w:val="16"/>
              </w:rPr>
              <w:t>2016</w:t>
            </w:r>
          </w:p>
        </w:tc>
        <w:tc>
          <w:tcPr>
            <w:tcW w:w="2563" w:type="dxa"/>
            <w:vAlign w:val="center"/>
          </w:tcPr>
          <w:p w14:paraId="4EF66E74" w14:textId="7A5DFEFF" w:rsidR="002B6965" w:rsidRPr="00781112" w:rsidRDefault="002B6965" w:rsidP="002B6965">
            <w:pPr>
              <w:jc w:val="center"/>
              <w:rPr>
                <w:b/>
                <w:color w:val="000000" w:themeColor="text1"/>
              </w:rPr>
            </w:pPr>
            <w:r w:rsidRPr="00781112">
              <w:rPr>
                <w:rFonts w:cs="Arial"/>
                <w:color w:val="000000" w:themeColor="text1"/>
                <w:szCs w:val="16"/>
              </w:rPr>
              <w:t>14.71%</w:t>
            </w:r>
          </w:p>
        </w:tc>
      </w:tr>
    </w:tbl>
    <w:p w14:paraId="6781E363" w14:textId="556D76E5" w:rsidR="002B6965" w:rsidRPr="00781112" w:rsidRDefault="002E111A" w:rsidP="004369B2">
      <w:pPr>
        <w:rPr>
          <w:color w:val="000000" w:themeColor="text1"/>
        </w:rPr>
      </w:pP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2DAF49AB" w14:textId="32F9B748" w:rsidTr="00E95FBF">
        <w:trPr>
          <w:trHeight w:val="350"/>
        </w:trPr>
        <w:tc>
          <w:tcPr>
            <w:tcW w:w="833" w:type="pct"/>
            <w:tcBorders>
              <w:bottom w:val="single" w:sz="4" w:space="0" w:color="auto"/>
            </w:tcBorders>
            <w:shd w:val="clear" w:color="auto" w:fill="auto"/>
          </w:tcPr>
          <w:p w14:paraId="7844FE4C" w14:textId="77777777" w:rsidR="00E4112E" w:rsidRPr="00781112" w:rsidRDefault="00E4112E" w:rsidP="004369B2">
            <w:pPr>
              <w:jc w:val="center"/>
              <w:rPr>
                <w:b/>
                <w:color w:val="000000" w:themeColor="text1"/>
              </w:rPr>
            </w:pPr>
            <w:r w:rsidRPr="00781112">
              <w:rPr>
                <w:b/>
                <w:color w:val="000000" w:themeColor="text1"/>
              </w:rPr>
              <w:t>FFY</w:t>
            </w:r>
          </w:p>
        </w:tc>
        <w:tc>
          <w:tcPr>
            <w:tcW w:w="833" w:type="pct"/>
            <w:shd w:val="clear" w:color="auto" w:fill="auto"/>
          </w:tcPr>
          <w:p w14:paraId="09DCA0E6" w14:textId="614607D6" w:rsidR="00E4112E" w:rsidRPr="00781112" w:rsidRDefault="002B7490">
            <w:pPr>
              <w:jc w:val="center"/>
              <w:rPr>
                <w:b/>
                <w:color w:val="000000" w:themeColor="text1"/>
              </w:rPr>
            </w:pPr>
            <w:r w:rsidRPr="00781112">
              <w:rPr>
                <w:b/>
                <w:color w:val="000000" w:themeColor="text1"/>
              </w:rPr>
              <w:t>2016</w:t>
            </w:r>
          </w:p>
        </w:tc>
        <w:tc>
          <w:tcPr>
            <w:tcW w:w="833" w:type="pct"/>
            <w:shd w:val="clear" w:color="auto" w:fill="auto"/>
          </w:tcPr>
          <w:p w14:paraId="7015519F" w14:textId="3BECE8C5" w:rsidR="00E4112E"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7CE93832" w14:textId="3E179BB5" w:rsidR="00E4112E"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1A1DC4B0" w14:textId="32B92E1C" w:rsidR="00E4112E" w:rsidRPr="00781112" w:rsidRDefault="002B7490">
            <w:pPr>
              <w:jc w:val="center"/>
              <w:rPr>
                <w:b/>
                <w:color w:val="000000" w:themeColor="text1"/>
              </w:rPr>
            </w:pPr>
            <w:r w:rsidRPr="00781112">
              <w:rPr>
                <w:b/>
                <w:color w:val="000000" w:themeColor="text1"/>
              </w:rPr>
              <w:t>2019</w:t>
            </w:r>
          </w:p>
        </w:tc>
        <w:tc>
          <w:tcPr>
            <w:tcW w:w="834" w:type="pct"/>
            <w:shd w:val="clear" w:color="auto" w:fill="auto"/>
          </w:tcPr>
          <w:p w14:paraId="030F446C" w14:textId="279E0CA2" w:rsidR="00E4112E" w:rsidRPr="00781112" w:rsidRDefault="002B7490">
            <w:pPr>
              <w:jc w:val="center"/>
              <w:rPr>
                <w:b/>
                <w:color w:val="000000" w:themeColor="text1"/>
              </w:rPr>
            </w:pPr>
            <w:r w:rsidRPr="00781112">
              <w:rPr>
                <w:b/>
                <w:color w:val="000000" w:themeColor="text1"/>
              </w:rPr>
              <w:t>2020</w:t>
            </w:r>
          </w:p>
        </w:tc>
      </w:tr>
      <w:tr w:rsidR="005C29F8" w:rsidRPr="00781112" w14:paraId="166D6AFF" w14:textId="0C956946" w:rsidTr="00E95FBF">
        <w:trPr>
          <w:trHeight w:val="357"/>
        </w:trPr>
        <w:tc>
          <w:tcPr>
            <w:tcW w:w="833" w:type="pct"/>
            <w:shd w:val="clear" w:color="auto" w:fill="auto"/>
            <w:vAlign w:val="center"/>
          </w:tcPr>
          <w:p w14:paraId="38AA0076" w14:textId="731BFD6B" w:rsidR="00BB7BC9" w:rsidRPr="00781112" w:rsidRDefault="00BB7BC9" w:rsidP="00BB7BC9">
            <w:pP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shd w:val="clear" w:color="auto" w:fill="auto"/>
            <w:vAlign w:val="center"/>
          </w:tcPr>
          <w:p w14:paraId="6CE07273" w14:textId="702A47D4" w:rsidR="00BB7BC9" w:rsidRPr="00781112" w:rsidRDefault="002B7490" w:rsidP="00A018D4">
            <w:pPr>
              <w:jc w:val="center"/>
              <w:rPr>
                <w:rFonts w:cs="Arial"/>
                <w:color w:val="000000" w:themeColor="text1"/>
                <w:szCs w:val="16"/>
              </w:rPr>
            </w:pPr>
            <w:r w:rsidRPr="00781112">
              <w:rPr>
                <w:rFonts w:cs="Arial"/>
                <w:color w:val="000000" w:themeColor="text1"/>
                <w:szCs w:val="16"/>
              </w:rPr>
              <w:t>6.60%</w:t>
            </w:r>
          </w:p>
        </w:tc>
        <w:tc>
          <w:tcPr>
            <w:tcW w:w="833" w:type="pct"/>
            <w:shd w:val="clear" w:color="auto" w:fill="auto"/>
            <w:vAlign w:val="center"/>
          </w:tcPr>
          <w:p w14:paraId="79939FD5" w14:textId="354F468A" w:rsidR="00BB7BC9" w:rsidRPr="00781112" w:rsidRDefault="002B7490" w:rsidP="00A018D4">
            <w:pPr>
              <w:jc w:val="center"/>
              <w:rPr>
                <w:rFonts w:cs="Arial"/>
                <w:color w:val="000000" w:themeColor="text1"/>
                <w:szCs w:val="16"/>
              </w:rPr>
            </w:pPr>
            <w:r w:rsidRPr="00781112">
              <w:rPr>
                <w:rFonts w:cs="Arial"/>
                <w:color w:val="000000" w:themeColor="text1"/>
                <w:szCs w:val="16"/>
              </w:rPr>
              <w:t>6.30%</w:t>
            </w:r>
          </w:p>
        </w:tc>
        <w:tc>
          <w:tcPr>
            <w:tcW w:w="833" w:type="pct"/>
            <w:shd w:val="clear" w:color="auto" w:fill="auto"/>
            <w:vAlign w:val="center"/>
          </w:tcPr>
          <w:p w14:paraId="2F67AA89" w14:textId="7720B113" w:rsidR="00BB7BC9" w:rsidRPr="00781112" w:rsidRDefault="002B7490" w:rsidP="00A018D4">
            <w:pPr>
              <w:jc w:val="center"/>
              <w:rPr>
                <w:rFonts w:cs="Arial"/>
                <w:color w:val="000000" w:themeColor="text1"/>
                <w:szCs w:val="16"/>
              </w:rPr>
            </w:pPr>
            <w:r w:rsidRPr="00781112">
              <w:rPr>
                <w:rFonts w:cs="Arial"/>
                <w:color w:val="000000" w:themeColor="text1"/>
                <w:szCs w:val="16"/>
              </w:rPr>
              <w:t>6.00%</w:t>
            </w:r>
          </w:p>
        </w:tc>
        <w:tc>
          <w:tcPr>
            <w:tcW w:w="833" w:type="pct"/>
            <w:shd w:val="clear" w:color="auto" w:fill="auto"/>
            <w:vAlign w:val="center"/>
          </w:tcPr>
          <w:p w14:paraId="370622DC" w14:textId="1DC834EA" w:rsidR="00BB7BC9" w:rsidRPr="00781112" w:rsidRDefault="002B7490" w:rsidP="00A018D4">
            <w:pPr>
              <w:jc w:val="center"/>
              <w:rPr>
                <w:rFonts w:cs="Arial"/>
                <w:color w:val="000000" w:themeColor="text1"/>
                <w:szCs w:val="16"/>
              </w:rPr>
            </w:pPr>
            <w:r w:rsidRPr="00781112">
              <w:rPr>
                <w:rFonts w:cs="Arial"/>
                <w:color w:val="000000" w:themeColor="text1"/>
                <w:szCs w:val="16"/>
              </w:rPr>
              <w:t>6.00%</w:t>
            </w:r>
          </w:p>
        </w:tc>
        <w:tc>
          <w:tcPr>
            <w:tcW w:w="834" w:type="pct"/>
            <w:shd w:val="clear" w:color="auto" w:fill="auto"/>
            <w:vAlign w:val="center"/>
          </w:tcPr>
          <w:p w14:paraId="01742AA4" w14:textId="72802F04" w:rsidR="00BB7BC9" w:rsidRPr="00781112" w:rsidRDefault="002B7490" w:rsidP="00A018D4">
            <w:pPr>
              <w:jc w:val="center"/>
              <w:rPr>
                <w:rFonts w:cs="Arial"/>
                <w:color w:val="000000" w:themeColor="text1"/>
                <w:szCs w:val="16"/>
              </w:rPr>
            </w:pPr>
            <w:r w:rsidRPr="00781112">
              <w:rPr>
                <w:rFonts w:cs="Arial"/>
                <w:color w:val="000000" w:themeColor="text1"/>
                <w:szCs w:val="16"/>
              </w:rPr>
              <w:t>40.00%</w:t>
            </w:r>
          </w:p>
        </w:tc>
      </w:tr>
      <w:tr w:rsidR="005C29F8" w:rsidRPr="00781112" w14:paraId="7A0B9513" w14:textId="222C1F8D" w:rsidTr="00E95FBF">
        <w:trPr>
          <w:trHeight w:val="85"/>
        </w:trPr>
        <w:tc>
          <w:tcPr>
            <w:tcW w:w="833" w:type="pct"/>
            <w:shd w:val="clear" w:color="auto" w:fill="auto"/>
            <w:vAlign w:val="center"/>
          </w:tcPr>
          <w:p w14:paraId="7EAE8715" w14:textId="77777777" w:rsidR="00BB7BC9" w:rsidRPr="00781112" w:rsidRDefault="00BB7BC9" w:rsidP="00BB7BC9">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88137A7" w14:textId="7782C22E" w:rsidR="00BB7BC9" w:rsidRPr="00781112" w:rsidRDefault="002B7490" w:rsidP="00A018D4">
            <w:pPr>
              <w:jc w:val="center"/>
              <w:rPr>
                <w:rFonts w:cs="Arial"/>
                <w:color w:val="000000" w:themeColor="text1"/>
                <w:szCs w:val="16"/>
              </w:rPr>
            </w:pPr>
            <w:r w:rsidRPr="00781112">
              <w:rPr>
                <w:rFonts w:cs="Arial"/>
                <w:color w:val="000000" w:themeColor="text1"/>
                <w:szCs w:val="16"/>
              </w:rPr>
              <w:t>14.71%</w:t>
            </w:r>
          </w:p>
        </w:tc>
        <w:tc>
          <w:tcPr>
            <w:tcW w:w="833" w:type="pct"/>
            <w:shd w:val="clear" w:color="auto" w:fill="auto"/>
            <w:vAlign w:val="center"/>
          </w:tcPr>
          <w:p w14:paraId="6040C16E" w14:textId="1898F821" w:rsidR="00BB7BC9" w:rsidRPr="00781112" w:rsidRDefault="002B7490" w:rsidP="00A018D4">
            <w:pPr>
              <w:jc w:val="center"/>
              <w:rPr>
                <w:rFonts w:cs="Arial"/>
                <w:color w:val="000000" w:themeColor="text1"/>
                <w:szCs w:val="16"/>
              </w:rPr>
            </w:pPr>
            <w:r w:rsidRPr="00781112">
              <w:rPr>
                <w:rFonts w:cs="Arial"/>
                <w:color w:val="000000" w:themeColor="text1"/>
                <w:szCs w:val="16"/>
              </w:rPr>
              <w:t>14.71%</w:t>
            </w:r>
          </w:p>
        </w:tc>
        <w:tc>
          <w:tcPr>
            <w:tcW w:w="833" w:type="pct"/>
            <w:tcBorders>
              <w:bottom w:val="single" w:sz="4" w:space="0" w:color="auto"/>
            </w:tcBorders>
            <w:shd w:val="clear" w:color="auto" w:fill="auto"/>
            <w:vAlign w:val="center"/>
          </w:tcPr>
          <w:p w14:paraId="2F4988E8" w14:textId="56ECA0F8" w:rsidR="00BB7BC9" w:rsidRPr="00781112" w:rsidRDefault="002B7490" w:rsidP="00A018D4">
            <w:pPr>
              <w:jc w:val="center"/>
              <w:rPr>
                <w:rFonts w:cs="Arial"/>
                <w:color w:val="000000" w:themeColor="text1"/>
                <w:szCs w:val="16"/>
              </w:rPr>
            </w:pPr>
            <w:r w:rsidRPr="00781112">
              <w:rPr>
                <w:rFonts w:cs="Arial"/>
                <w:color w:val="000000" w:themeColor="text1"/>
                <w:szCs w:val="16"/>
              </w:rPr>
              <w:t>3.98%</w:t>
            </w:r>
          </w:p>
        </w:tc>
        <w:tc>
          <w:tcPr>
            <w:tcW w:w="833" w:type="pct"/>
            <w:tcBorders>
              <w:bottom w:val="single" w:sz="4" w:space="0" w:color="auto"/>
            </w:tcBorders>
            <w:shd w:val="clear" w:color="auto" w:fill="auto"/>
            <w:vAlign w:val="center"/>
          </w:tcPr>
          <w:p w14:paraId="3315EDFF" w14:textId="1943A2C3" w:rsidR="00BB7BC9" w:rsidRPr="00781112" w:rsidRDefault="002B7490" w:rsidP="00A018D4">
            <w:pPr>
              <w:jc w:val="center"/>
              <w:rPr>
                <w:rFonts w:cs="Arial"/>
                <w:color w:val="000000" w:themeColor="text1"/>
                <w:szCs w:val="16"/>
              </w:rPr>
            </w:pPr>
            <w:r w:rsidRPr="00781112">
              <w:rPr>
                <w:rFonts w:cs="Arial"/>
                <w:color w:val="000000" w:themeColor="text1"/>
                <w:szCs w:val="16"/>
              </w:rPr>
              <w:t>36.36%</w:t>
            </w:r>
          </w:p>
        </w:tc>
        <w:tc>
          <w:tcPr>
            <w:tcW w:w="834" w:type="pct"/>
            <w:tcBorders>
              <w:bottom w:val="single" w:sz="4" w:space="0" w:color="auto"/>
            </w:tcBorders>
            <w:shd w:val="clear" w:color="auto" w:fill="auto"/>
            <w:vAlign w:val="center"/>
          </w:tcPr>
          <w:p w14:paraId="6B580E93" w14:textId="6155D799" w:rsidR="00BB7BC9" w:rsidRPr="00781112" w:rsidRDefault="002B7490" w:rsidP="00A018D4">
            <w:pPr>
              <w:jc w:val="center"/>
              <w:rPr>
                <w:rFonts w:cs="Arial"/>
                <w:color w:val="000000" w:themeColor="text1"/>
                <w:szCs w:val="16"/>
              </w:rPr>
            </w:pPr>
            <w:r w:rsidRPr="00781112">
              <w:rPr>
                <w:rFonts w:cs="Arial"/>
                <w:color w:val="000000" w:themeColor="text1"/>
                <w:szCs w:val="16"/>
              </w:rPr>
              <w:t>39.13%</w:t>
            </w:r>
          </w:p>
        </w:tc>
      </w:tr>
    </w:tbl>
    <w:p w14:paraId="5F34812B" w14:textId="77777777" w:rsidR="006478FC" w:rsidRPr="00781112" w:rsidRDefault="006478FC" w:rsidP="004369B2">
      <w:pPr>
        <w:rPr>
          <w:color w:val="000000" w:themeColor="text1"/>
        </w:rPr>
      </w:pPr>
    </w:p>
    <w:p w14:paraId="4841771C" w14:textId="2E3FC34F" w:rsidR="00ED5FCE" w:rsidRPr="00781112" w:rsidRDefault="00ED5FCE" w:rsidP="004369B2">
      <w:pPr>
        <w:rPr>
          <w:color w:val="000000" w:themeColor="text1"/>
        </w:rPr>
      </w:pPr>
      <w:r w:rsidRPr="00781112">
        <w:rPr>
          <w:b/>
          <w:color w:val="000000" w:themeColor="text1"/>
        </w:rPr>
        <w:lastRenderedPageBreak/>
        <w:t>Targets</w:t>
      </w:r>
    </w:p>
    <w:tbl>
      <w:tblPr>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79"/>
        <w:gridCol w:w="1591"/>
        <w:gridCol w:w="1696"/>
        <w:gridCol w:w="1696"/>
        <w:gridCol w:w="1696"/>
        <w:gridCol w:w="1697"/>
      </w:tblGrid>
      <w:tr w:rsidR="00B14519" w:rsidRPr="00781112" w14:paraId="00255703" w14:textId="57B86D35" w:rsidTr="00451D7E">
        <w:trPr>
          <w:trHeight w:val="350"/>
        </w:trPr>
        <w:tc>
          <w:tcPr>
            <w:tcW w:w="271" w:type="pct"/>
            <w:tcBorders>
              <w:bottom w:val="single" w:sz="4" w:space="0" w:color="auto"/>
            </w:tcBorders>
            <w:shd w:val="clear" w:color="auto" w:fill="auto"/>
          </w:tcPr>
          <w:p w14:paraId="12833EEC" w14:textId="77777777" w:rsidR="00B14519" w:rsidRPr="00781112" w:rsidRDefault="00B14519" w:rsidP="00373F78">
            <w:pPr>
              <w:jc w:val="center"/>
              <w:rPr>
                <w:b/>
                <w:color w:val="000000" w:themeColor="text1"/>
              </w:rPr>
            </w:pPr>
            <w:r w:rsidRPr="00781112">
              <w:rPr>
                <w:b/>
                <w:color w:val="000000" w:themeColor="text1"/>
              </w:rPr>
              <w:t>FFY</w:t>
            </w:r>
          </w:p>
        </w:tc>
        <w:tc>
          <w:tcPr>
            <w:tcW w:w="899" w:type="pct"/>
            <w:shd w:val="clear" w:color="auto" w:fill="auto"/>
          </w:tcPr>
          <w:p w14:paraId="50119DBA" w14:textId="04DC2A77" w:rsidR="00B14519" w:rsidRPr="00781112" w:rsidRDefault="00B14519" w:rsidP="00373F78">
            <w:pPr>
              <w:jc w:val="center"/>
              <w:rPr>
                <w:b/>
                <w:color w:val="000000" w:themeColor="text1"/>
              </w:rPr>
            </w:pPr>
            <w:r w:rsidRPr="00781112">
              <w:rPr>
                <w:b/>
                <w:color w:val="000000" w:themeColor="text1"/>
              </w:rPr>
              <w:t>2021</w:t>
            </w:r>
          </w:p>
        </w:tc>
        <w:tc>
          <w:tcPr>
            <w:tcW w:w="957" w:type="pct"/>
          </w:tcPr>
          <w:p w14:paraId="59425E52" w14:textId="30A73A95" w:rsidR="00B14519" w:rsidRPr="00781112" w:rsidRDefault="00B14519" w:rsidP="00373F78">
            <w:pPr>
              <w:jc w:val="center"/>
              <w:rPr>
                <w:b/>
                <w:color w:val="000000" w:themeColor="text1"/>
              </w:rPr>
            </w:pPr>
            <w:r w:rsidRPr="00781112">
              <w:rPr>
                <w:rFonts w:cs="Arial"/>
                <w:b/>
                <w:color w:val="000000" w:themeColor="text1"/>
                <w:szCs w:val="16"/>
              </w:rPr>
              <w:t>2022</w:t>
            </w:r>
          </w:p>
        </w:tc>
        <w:tc>
          <w:tcPr>
            <w:tcW w:w="957" w:type="pct"/>
          </w:tcPr>
          <w:p w14:paraId="62296859" w14:textId="1A7F3D46" w:rsidR="00B14519" w:rsidRPr="00781112" w:rsidRDefault="00B14519" w:rsidP="00373F78">
            <w:pPr>
              <w:jc w:val="center"/>
              <w:rPr>
                <w:b/>
                <w:color w:val="000000" w:themeColor="text1"/>
              </w:rPr>
            </w:pPr>
            <w:r w:rsidRPr="00781112">
              <w:rPr>
                <w:rFonts w:cs="Arial"/>
                <w:b/>
                <w:color w:val="000000" w:themeColor="text1"/>
                <w:szCs w:val="16"/>
              </w:rPr>
              <w:t>2023</w:t>
            </w:r>
          </w:p>
        </w:tc>
        <w:tc>
          <w:tcPr>
            <w:tcW w:w="957" w:type="pct"/>
          </w:tcPr>
          <w:p w14:paraId="69950222" w14:textId="1E5E636C" w:rsidR="00B14519" w:rsidRPr="00781112" w:rsidRDefault="00B14519" w:rsidP="00373F78">
            <w:pPr>
              <w:jc w:val="center"/>
              <w:rPr>
                <w:b/>
                <w:color w:val="000000" w:themeColor="text1"/>
              </w:rPr>
            </w:pPr>
            <w:r w:rsidRPr="00781112">
              <w:rPr>
                <w:rFonts w:cs="Arial"/>
                <w:b/>
                <w:color w:val="000000" w:themeColor="text1"/>
                <w:szCs w:val="16"/>
              </w:rPr>
              <w:t>2024</w:t>
            </w:r>
          </w:p>
        </w:tc>
        <w:tc>
          <w:tcPr>
            <w:tcW w:w="957" w:type="pct"/>
          </w:tcPr>
          <w:p w14:paraId="147FD075" w14:textId="2618FA88" w:rsidR="00B14519" w:rsidRPr="00781112" w:rsidRDefault="00B14519" w:rsidP="00373F78">
            <w:pPr>
              <w:jc w:val="center"/>
              <w:rPr>
                <w:b/>
                <w:color w:val="000000" w:themeColor="text1"/>
              </w:rPr>
            </w:pPr>
            <w:r w:rsidRPr="00781112">
              <w:rPr>
                <w:rFonts w:cs="Arial"/>
                <w:b/>
                <w:color w:val="000000" w:themeColor="text1"/>
                <w:szCs w:val="16"/>
              </w:rPr>
              <w:t>2025</w:t>
            </w:r>
          </w:p>
        </w:tc>
      </w:tr>
      <w:tr w:rsidR="00B14519" w:rsidRPr="00781112" w14:paraId="1ACE760A" w14:textId="1AE21F6E" w:rsidTr="00451D7E">
        <w:trPr>
          <w:trHeight w:val="357"/>
        </w:trPr>
        <w:tc>
          <w:tcPr>
            <w:tcW w:w="271" w:type="pct"/>
            <w:shd w:val="clear" w:color="auto" w:fill="auto"/>
            <w:vAlign w:val="center"/>
          </w:tcPr>
          <w:p w14:paraId="3387B9B3" w14:textId="0ED5756F" w:rsidR="00B14519" w:rsidRPr="00781112" w:rsidRDefault="00B14519" w:rsidP="00373F78">
            <w:pP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899" w:type="pct"/>
            <w:shd w:val="clear" w:color="auto" w:fill="auto"/>
            <w:vAlign w:val="center"/>
          </w:tcPr>
          <w:p w14:paraId="78EBD6ED" w14:textId="4FA09BBD" w:rsidR="00B14519" w:rsidRPr="00781112" w:rsidRDefault="00B14519" w:rsidP="00373F78">
            <w:pPr>
              <w:jc w:val="center"/>
              <w:rPr>
                <w:rFonts w:cs="Arial"/>
                <w:color w:val="000000" w:themeColor="text1"/>
                <w:szCs w:val="16"/>
              </w:rPr>
            </w:pPr>
            <w:r w:rsidRPr="00781112">
              <w:rPr>
                <w:rFonts w:cs="Arial"/>
                <w:color w:val="000000" w:themeColor="text1"/>
                <w:szCs w:val="16"/>
              </w:rPr>
              <w:t>45.00%</w:t>
            </w:r>
          </w:p>
        </w:tc>
        <w:tc>
          <w:tcPr>
            <w:tcW w:w="957" w:type="pct"/>
          </w:tcPr>
          <w:p w14:paraId="6FDC82B2" w14:textId="0C85D604" w:rsidR="00B14519" w:rsidRPr="00781112" w:rsidRDefault="00B14519" w:rsidP="00373F78">
            <w:pPr>
              <w:jc w:val="center"/>
              <w:rPr>
                <w:rFonts w:cs="Arial"/>
                <w:color w:val="000000" w:themeColor="text1"/>
                <w:szCs w:val="16"/>
              </w:rPr>
            </w:pPr>
            <w:r w:rsidRPr="00781112">
              <w:rPr>
                <w:color w:val="000000" w:themeColor="text1"/>
                <w:szCs w:val="16"/>
              </w:rPr>
              <w:t>37.00%</w:t>
            </w:r>
          </w:p>
        </w:tc>
        <w:tc>
          <w:tcPr>
            <w:tcW w:w="957" w:type="pct"/>
          </w:tcPr>
          <w:p w14:paraId="798EC84B" w14:textId="0E47DBF4" w:rsidR="00B14519" w:rsidRPr="00781112" w:rsidRDefault="00B14519" w:rsidP="00373F78">
            <w:pPr>
              <w:jc w:val="center"/>
              <w:rPr>
                <w:rFonts w:cs="Arial"/>
                <w:color w:val="000000" w:themeColor="text1"/>
                <w:szCs w:val="16"/>
              </w:rPr>
            </w:pPr>
            <w:r w:rsidRPr="00781112">
              <w:rPr>
                <w:color w:val="000000" w:themeColor="text1"/>
                <w:szCs w:val="16"/>
              </w:rPr>
              <w:t>29.00%</w:t>
            </w:r>
          </w:p>
        </w:tc>
        <w:tc>
          <w:tcPr>
            <w:tcW w:w="957" w:type="pct"/>
          </w:tcPr>
          <w:p w14:paraId="75A6D928" w14:textId="791A7001" w:rsidR="00B14519" w:rsidRPr="00781112" w:rsidRDefault="00B14519" w:rsidP="00373F78">
            <w:pPr>
              <w:jc w:val="center"/>
              <w:rPr>
                <w:rFonts w:cs="Arial"/>
                <w:color w:val="000000" w:themeColor="text1"/>
                <w:szCs w:val="16"/>
              </w:rPr>
            </w:pPr>
            <w:r w:rsidRPr="00781112">
              <w:rPr>
                <w:color w:val="000000" w:themeColor="text1"/>
                <w:szCs w:val="16"/>
              </w:rPr>
              <w:t>21.00%</w:t>
            </w:r>
          </w:p>
        </w:tc>
        <w:tc>
          <w:tcPr>
            <w:tcW w:w="957" w:type="pct"/>
          </w:tcPr>
          <w:p w14:paraId="1CE5D3BC" w14:textId="661D574C" w:rsidR="00B14519" w:rsidRPr="00781112" w:rsidRDefault="00B14519" w:rsidP="00373F78">
            <w:pPr>
              <w:jc w:val="center"/>
              <w:rPr>
                <w:rFonts w:cs="Arial"/>
                <w:color w:val="000000" w:themeColor="text1"/>
                <w:szCs w:val="16"/>
              </w:rPr>
            </w:pPr>
            <w:r w:rsidRPr="00781112">
              <w:rPr>
                <w:color w:val="000000" w:themeColor="text1"/>
                <w:szCs w:val="16"/>
              </w:rPr>
              <w:t>13.00%</w:t>
            </w:r>
          </w:p>
        </w:tc>
      </w:tr>
    </w:tbl>
    <w:p w14:paraId="05EA20CB" w14:textId="0A0E8C80" w:rsidR="002D145D" w:rsidRPr="00781112" w:rsidRDefault="002D145D" w:rsidP="004369B2">
      <w:pPr>
        <w:rPr>
          <w:b/>
          <w:color w:val="000000" w:themeColor="text1"/>
        </w:rPr>
      </w:pPr>
      <w:r w:rsidRPr="00781112">
        <w:rPr>
          <w:b/>
          <w:color w:val="000000" w:themeColor="text1"/>
        </w:rPr>
        <w:t xml:space="preserve">Targets: Description of Stakeholder Input </w:t>
      </w:r>
    </w:p>
    <w:p w14:paraId="3FD5337B" w14:textId="54E74935" w:rsidR="002D145D" w:rsidRPr="00781112" w:rsidRDefault="002D145D" w:rsidP="002D145D">
      <w:pPr>
        <w:rPr>
          <w:rFonts w:cs="Arial"/>
          <w:color w:val="000000" w:themeColor="text1"/>
          <w:szCs w:val="16"/>
        </w:rPr>
      </w:pPr>
    </w:p>
    <w:p w14:paraId="2AE297AB" w14:textId="77777777" w:rsidR="007E6F97" w:rsidRPr="00781112" w:rsidRDefault="007E6F97" w:rsidP="004369B2">
      <w:pPr>
        <w:rPr>
          <w:color w:val="000000" w:themeColor="text1"/>
        </w:rPr>
      </w:pPr>
    </w:p>
    <w:bookmarkEnd w:id="22"/>
    <w:bookmarkEnd w:id="23"/>
    <w:p w14:paraId="2E616696" w14:textId="27349DED" w:rsidR="00D03701" w:rsidRPr="00781112" w:rsidRDefault="0047313F">
      <w:pPr>
        <w:rPr>
          <w:b/>
          <w:color w:val="000000" w:themeColor="text1"/>
        </w:rPr>
      </w:pPr>
      <w:r>
        <w:rPr>
          <w:b/>
          <w:color w:val="000000" w:themeColor="text1"/>
        </w:rPr>
        <w:t>FFY 2021 SPP/APR Data</w:t>
      </w:r>
    </w:p>
    <w:p w14:paraId="01DBD317" w14:textId="57913AA7" w:rsidR="009B02BC" w:rsidRPr="00781112" w:rsidRDefault="009B02BC">
      <w:pPr>
        <w:rPr>
          <w:rFonts w:cs="Arial"/>
          <w:b/>
          <w:color w:val="000000" w:themeColor="text1"/>
          <w:szCs w:val="16"/>
        </w:rPr>
      </w:pPr>
      <w:r w:rsidRPr="00781112">
        <w:rPr>
          <w:rFonts w:cs="Arial"/>
          <w:b/>
          <w:color w:val="000000" w:themeColor="text1"/>
          <w:szCs w:val="16"/>
        </w:rPr>
        <w:t>Has the state established a minimum n/cell-size requirement? (yes/no)</w:t>
      </w:r>
    </w:p>
    <w:p w14:paraId="6A8BDBAB" w14:textId="22481006" w:rsidR="009B02BC" w:rsidRPr="00781112" w:rsidRDefault="009B02BC">
      <w:pPr>
        <w:rPr>
          <w:rFonts w:cs="Arial"/>
          <w:color w:val="000000" w:themeColor="text1"/>
          <w:szCs w:val="16"/>
        </w:rPr>
      </w:pPr>
      <w:r w:rsidRPr="00781112">
        <w:rPr>
          <w:rFonts w:cs="Arial"/>
          <w:color w:val="000000" w:themeColor="text1"/>
          <w:szCs w:val="16"/>
        </w:rPr>
        <w:t>YES</w:t>
      </w:r>
    </w:p>
    <w:p w14:paraId="1DB615CF" w14:textId="2B2BB733" w:rsidR="009B02BC" w:rsidRPr="00781112" w:rsidRDefault="009B02BC">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the State-established n/cell size. Report the number of LEAs excluded from the calculation as a result of the requirement.</w:t>
      </w:r>
    </w:p>
    <w:p w14:paraId="5F36FA89" w14:textId="7B8DA8B5" w:rsidR="009B02BC" w:rsidRPr="00781112" w:rsidRDefault="009B02BC" w:rsidP="004369B2">
      <w:pPr>
        <w:rPr>
          <w:rFonts w:cs="Arial"/>
          <w:color w:val="000000" w:themeColor="text1"/>
          <w:szCs w:val="16"/>
        </w:rPr>
      </w:pPr>
      <w:r w:rsidRPr="00781112">
        <w:rPr>
          <w:rFonts w:cs="Arial"/>
          <w:color w:val="000000" w:themeColor="text1"/>
          <w:szCs w:val="16"/>
        </w:rPr>
        <w:t>534</w:t>
      </w:r>
    </w:p>
    <w:p w14:paraId="4E14BC0D"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450F98" w:rsidRPr="00781112" w14:paraId="25961F2E" w14:textId="5D241BED" w:rsidTr="00E95FBF">
        <w:trPr>
          <w:trHeight w:val="994"/>
          <w:jc w:val="center"/>
        </w:trPr>
        <w:tc>
          <w:tcPr>
            <w:tcW w:w="653" w:type="pct"/>
            <w:shd w:val="clear" w:color="auto" w:fill="auto"/>
            <w:vAlign w:val="bottom"/>
          </w:tcPr>
          <w:p w14:paraId="1D711F21" w14:textId="471FE8E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shd w:val="clear" w:color="auto" w:fill="auto"/>
            <w:vAlign w:val="bottom"/>
          </w:tcPr>
          <w:p w14:paraId="196C509D" w14:textId="54B65E7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met the State's minimum n/cell size</w:t>
            </w:r>
          </w:p>
        </w:tc>
        <w:tc>
          <w:tcPr>
            <w:tcW w:w="634" w:type="pct"/>
            <w:shd w:val="clear" w:color="auto" w:fill="auto"/>
            <w:vAlign w:val="bottom"/>
          </w:tcPr>
          <w:p w14:paraId="20C8255F" w14:textId="289B64FE" w:rsidR="00450F98" w:rsidRPr="00073BD7" w:rsidRDefault="00450F98" w:rsidP="00450F98">
            <w:pPr>
              <w:jc w:val="center"/>
              <w:rPr>
                <w:rFonts w:cs="Arial"/>
                <w:b/>
                <w:bCs/>
                <w:color w:val="000000" w:themeColor="text1"/>
                <w:szCs w:val="16"/>
              </w:rPr>
            </w:pPr>
            <w:r w:rsidRPr="00073BD7">
              <w:rPr>
                <w:b/>
                <w:bCs/>
              </w:rPr>
              <w:t>FFY 2020 Data</w:t>
            </w:r>
          </w:p>
        </w:tc>
        <w:tc>
          <w:tcPr>
            <w:tcW w:w="876" w:type="pct"/>
            <w:shd w:val="clear" w:color="auto" w:fill="auto"/>
            <w:vAlign w:val="bottom"/>
          </w:tcPr>
          <w:p w14:paraId="2298BC2C" w14:textId="6C7E1A38" w:rsidR="00450F98" w:rsidRPr="00073BD7" w:rsidRDefault="00450F98" w:rsidP="00450F98">
            <w:pPr>
              <w:jc w:val="center"/>
              <w:rPr>
                <w:rFonts w:cs="Arial"/>
                <w:b/>
                <w:bCs/>
                <w:color w:val="000000" w:themeColor="text1"/>
                <w:szCs w:val="16"/>
              </w:rPr>
            </w:pPr>
            <w:r w:rsidRPr="00073BD7">
              <w:rPr>
                <w:b/>
                <w:bCs/>
              </w:rPr>
              <w:t>FFY 2021 Target</w:t>
            </w:r>
          </w:p>
        </w:tc>
        <w:tc>
          <w:tcPr>
            <w:tcW w:w="584" w:type="pct"/>
            <w:shd w:val="clear" w:color="auto" w:fill="auto"/>
            <w:vAlign w:val="bottom"/>
          </w:tcPr>
          <w:p w14:paraId="3E9B682A" w14:textId="3CC0CE28" w:rsidR="00450F98" w:rsidRPr="00073BD7" w:rsidRDefault="00450F98" w:rsidP="00450F98">
            <w:pPr>
              <w:jc w:val="center"/>
              <w:rPr>
                <w:rFonts w:cs="Arial"/>
                <w:b/>
                <w:bCs/>
                <w:color w:val="000000" w:themeColor="text1"/>
                <w:szCs w:val="16"/>
              </w:rPr>
            </w:pPr>
            <w:r w:rsidRPr="00073BD7">
              <w:rPr>
                <w:b/>
                <w:bCs/>
              </w:rPr>
              <w:t>FFY 2021 Data</w:t>
            </w:r>
          </w:p>
        </w:tc>
        <w:tc>
          <w:tcPr>
            <w:tcW w:w="667" w:type="pct"/>
            <w:shd w:val="clear" w:color="auto" w:fill="auto"/>
            <w:vAlign w:val="bottom"/>
          </w:tcPr>
          <w:p w14:paraId="7B5A071B" w14:textId="6C45C0BB" w:rsidR="00450F98" w:rsidRPr="00781112" w:rsidRDefault="00450F98" w:rsidP="00450F98">
            <w:pPr>
              <w:jc w:val="center"/>
              <w:rPr>
                <w:rFonts w:cs="Arial"/>
                <w:b/>
                <w:color w:val="000000" w:themeColor="text1"/>
                <w:szCs w:val="16"/>
              </w:rPr>
            </w:pPr>
            <w:r w:rsidRPr="00781112">
              <w:rPr>
                <w:rFonts w:cs="Arial"/>
                <w:b/>
                <w:color w:val="000000" w:themeColor="text1"/>
                <w:szCs w:val="16"/>
              </w:rPr>
              <w:t>Status</w:t>
            </w:r>
          </w:p>
        </w:tc>
        <w:tc>
          <w:tcPr>
            <w:tcW w:w="707" w:type="pct"/>
            <w:shd w:val="clear" w:color="auto" w:fill="auto"/>
            <w:vAlign w:val="bottom"/>
          </w:tcPr>
          <w:p w14:paraId="4D50491C" w14:textId="7F184394" w:rsidR="00450F98" w:rsidRPr="00781112" w:rsidRDefault="00450F98" w:rsidP="00450F98">
            <w:pPr>
              <w:jc w:val="center"/>
              <w:rPr>
                <w:rFonts w:cs="Arial"/>
                <w:b/>
                <w:color w:val="000000" w:themeColor="text1"/>
                <w:szCs w:val="16"/>
              </w:rPr>
            </w:pPr>
            <w:r w:rsidRPr="00781112">
              <w:rPr>
                <w:rFonts w:cs="Arial"/>
                <w:b/>
                <w:color w:val="000000" w:themeColor="text1"/>
                <w:szCs w:val="16"/>
              </w:rPr>
              <w:t>Slippage</w:t>
            </w:r>
          </w:p>
        </w:tc>
      </w:tr>
      <w:tr w:rsidR="005C29F8" w:rsidRPr="00781112" w14:paraId="0246961D" w14:textId="1C11943C" w:rsidTr="00E95FBF">
        <w:trPr>
          <w:trHeight w:val="233"/>
          <w:jc w:val="center"/>
        </w:trPr>
        <w:tc>
          <w:tcPr>
            <w:tcW w:w="653" w:type="pct"/>
            <w:shd w:val="clear" w:color="auto" w:fill="auto"/>
            <w:vAlign w:val="center"/>
          </w:tcPr>
          <w:p w14:paraId="0B36F15E" w14:textId="239D7181" w:rsidR="00A862C3" w:rsidRPr="00781112" w:rsidRDefault="002B7490" w:rsidP="00A018D4">
            <w:pPr>
              <w:jc w:val="center"/>
              <w:rPr>
                <w:rFonts w:cs="Arial"/>
                <w:color w:val="000000" w:themeColor="text1"/>
                <w:szCs w:val="16"/>
              </w:rPr>
            </w:pPr>
            <w:r w:rsidRPr="00781112">
              <w:rPr>
                <w:rFonts w:cs="Arial"/>
                <w:color w:val="000000" w:themeColor="text1"/>
                <w:szCs w:val="16"/>
              </w:rPr>
              <w:t>4</w:t>
            </w:r>
          </w:p>
        </w:tc>
        <w:tc>
          <w:tcPr>
            <w:tcW w:w="879" w:type="pct"/>
            <w:shd w:val="clear" w:color="auto" w:fill="auto"/>
          </w:tcPr>
          <w:p w14:paraId="77E03427" w14:textId="31D4B2F4" w:rsidR="00A862C3" w:rsidRPr="00781112" w:rsidRDefault="002B7490" w:rsidP="00A018D4">
            <w:pPr>
              <w:jc w:val="center"/>
              <w:rPr>
                <w:rFonts w:cs="Arial"/>
                <w:color w:val="000000" w:themeColor="text1"/>
                <w:szCs w:val="16"/>
              </w:rPr>
            </w:pPr>
            <w:r w:rsidRPr="00781112">
              <w:rPr>
                <w:rFonts w:cs="Arial"/>
                <w:color w:val="000000" w:themeColor="text1"/>
                <w:szCs w:val="16"/>
              </w:rPr>
              <w:t>9</w:t>
            </w:r>
          </w:p>
        </w:tc>
        <w:tc>
          <w:tcPr>
            <w:tcW w:w="634" w:type="pct"/>
            <w:shd w:val="clear" w:color="auto" w:fill="auto"/>
          </w:tcPr>
          <w:p w14:paraId="12EAED8C" w14:textId="23973C25" w:rsidR="00A862C3" w:rsidRPr="00781112" w:rsidRDefault="002B7490" w:rsidP="00A018D4">
            <w:pPr>
              <w:jc w:val="center"/>
              <w:rPr>
                <w:rFonts w:cs="Arial"/>
                <w:color w:val="000000" w:themeColor="text1"/>
                <w:szCs w:val="16"/>
              </w:rPr>
            </w:pPr>
            <w:r w:rsidRPr="00781112">
              <w:rPr>
                <w:rFonts w:cs="Arial"/>
                <w:color w:val="000000" w:themeColor="text1"/>
                <w:szCs w:val="16"/>
              </w:rPr>
              <w:t>39.13%</w:t>
            </w:r>
          </w:p>
        </w:tc>
        <w:tc>
          <w:tcPr>
            <w:tcW w:w="876" w:type="pct"/>
            <w:shd w:val="clear" w:color="auto" w:fill="auto"/>
          </w:tcPr>
          <w:p w14:paraId="0310AC78" w14:textId="48F7D944" w:rsidR="00A862C3" w:rsidRPr="00781112" w:rsidRDefault="002B7490" w:rsidP="00A018D4">
            <w:pPr>
              <w:jc w:val="center"/>
              <w:rPr>
                <w:rFonts w:cs="Arial"/>
                <w:color w:val="000000" w:themeColor="text1"/>
                <w:szCs w:val="16"/>
              </w:rPr>
            </w:pPr>
            <w:r w:rsidRPr="00781112">
              <w:rPr>
                <w:rFonts w:cs="Arial"/>
                <w:color w:val="000000" w:themeColor="text1"/>
                <w:szCs w:val="16"/>
              </w:rPr>
              <w:t>45.00%</w:t>
            </w:r>
          </w:p>
        </w:tc>
        <w:tc>
          <w:tcPr>
            <w:tcW w:w="584" w:type="pct"/>
            <w:shd w:val="clear" w:color="auto" w:fill="auto"/>
          </w:tcPr>
          <w:p w14:paraId="411F4E7C" w14:textId="0AFD7B4B" w:rsidR="00A862C3" w:rsidRPr="00781112" w:rsidRDefault="002B7490" w:rsidP="00A018D4">
            <w:pPr>
              <w:jc w:val="center"/>
              <w:rPr>
                <w:rFonts w:cs="Arial"/>
                <w:color w:val="000000" w:themeColor="text1"/>
                <w:szCs w:val="16"/>
              </w:rPr>
            </w:pPr>
            <w:r w:rsidRPr="00781112">
              <w:rPr>
                <w:rFonts w:cs="Arial"/>
                <w:color w:val="000000" w:themeColor="text1"/>
                <w:szCs w:val="16"/>
              </w:rPr>
              <w:t>44.44%</w:t>
            </w:r>
          </w:p>
        </w:tc>
        <w:tc>
          <w:tcPr>
            <w:tcW w:w="667" w:type="pct"/>
            <w:shd w:val="clear" w:color="auto" w:fill="auto"/>
          </w:tcPr>
          <w:p w14:paraId="000F74CB" w14:textId="0986D493" w:rsidR="00A862C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7" w:type="pct"/>
            <w:shd w:val="clear" w:color="auto" w:fill="auto"/>
          </w:tcPr>
          <w:p w14:paraId="69708C33" w14:textId="1D4517AD" w:rsidR="00A862C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78EEC3E"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444FB8E0" w14:textId="3109DE1E" w:rsidR="002C705B" w:rsidRPr="00781112" w:rsidRDefault="002B7490" w:rsidP="00286BDF">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F94634D"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37248070" w14:textId="1657C005" w:rsidR="00A869E9" w:rsidRPr="00781112" w:rsidRDefault="002B7490" w:rsidP="0085119E">
      <w:pPr>
        <w:rPr>
          <w:rFonts w:cs="Arial"/>
          <w:color w:val="000000" w:themeColor="text1"/>
          <w:szCs w:val="16"/>
        </w:rPr>
      </w:pPr>
      <w:r w:rsidRPr="00781112">
        <w:rPr>
          <w:rFonts w:cs="Arial"/>
          <w:color w:val="000000" w:themeColor="text1"/>
          <w:szCs w:val="16"/>
        </w:rPr>
        <w:t>The OSDE-SES, with stakeholder input from its IDEA Part B Advisory Panel, has defined “significant discrepancy” as a risk ratio of suspension or expulsion of 2.5 or greater for students with disabilities in a LEA compared to students with disabilities among all LEAs in the State. Oklahoma used only students with IEPs (ages 3 to 21) to calculate significant discrepancy. The state rate for suspensions or expulsions for students with disabilities is used as the comparison group.</w:t>
      </w:r>
      <w:r w:rsidRPr="00781112">
        <w:rPr>
          <w:rFonts w:cs="Arial"/>
          <w:color w:val="000000" w:themeColor="text1"/>
          <w:szCs w:val="16"/>
        </w:rPr>
        <w:br/>
      </w:r>
      <w:r w:rsidRPr="00781112">
        <w:rPr>
          <w:rFonts w:cs="Arial"/>
          <w:color w:val="000000" w:themeColor="text1"/>
          <w:szCs w:val="16"/>
        </w:rPr>
        <w:br/>
        <w:t>To be included in the analysis, an LEA must have at least 10 students with disabilities who were suspended or expelled more than 10 days and at least 10 students with disabilities enrolled. 534 districts were excluded from the analysis because they did not meet the minimum n-size of students with disabilities who were suspended or expelled more than 10 days.</w:t>
      </w:r>
      <w:r w:rsidRPr="00781112">
        <w:rPr>
          <w:rFonts w:cs="Arial"/>
          <w:color w:val="000000" w:themeColor="text1"/>
          <w:szCs w:val="16"/>
        </w:rPr>
        <w:br/>
      </w:r>
      <w:r w:rsidRPr="00781112">
        <w:rPr>
          <w:rFonts w:cs="Arial"/>
          <w:color w:val="000000" w:themeColor="text1"/>
          <w:szCs w:val="16"/>
        </w:rPr>
        <w:br/>
        <w:t>Any findings of significant discrepancy generate an analysis of policies, procedures, and practices by SEA personnel. LEAs are also required to conduct this review (consistent with CFR § 300.170(b)). If appropriate, the LEAs will revise policies, practices, and procedures relating to any of the following topics: development and implementation of IEPs, the use of positive behavioral interventions and supports, and procedural safeguards to comply with the requirements of the IDEA. Corrections will be reviewed for consistency with OSEP Memorandum 09-02 dated October 17, 2008.</w:t>
      </w:r>
    </w:p>
    <w:p w14:paraId="47F07052" w14:textId="77777777" w:rsidR="00BB504D" w:rsidRPr="00781112" w:rsidRDefault="00BB504D" w:rsidP="004369B2">
      <w:pPr>
        <w:rPr>
          <w:b/>
          <w:color w:val="000000" w:themeColor="text1"/>
        </w:rPr>
      </w:pPr>
      <w:bookmarkStart w:id="24" w:name="_Toc384383334"/>
      <w:bookmarkStart w:id="25" w:name="_Toc392159286"/>
      <w:r w:rsidRPr="00781112">
        <w:rPr>
          <w:b/>
          <w:color w:val="000000" w:themeColor="text1"/>
        </w:rPr>
        <w:t>Provide additional information about this indicator (optional)</w:t>
      </w:r>
    </w:p>
    <w:p w14:paraId="0275E470" w14:textId="5748926D" w:rsidR="00A869E9" w:rsidRPr="00781112" w:rsidRDefault="002B7490" w:rsidP="000E33D0">
      <w:pPr>
        <w:rPr>
          <w:rFonts w:cs="Arial"/>
          <w:color w:val="000000" w:themeColor="text1"/>
          <w:szCs w:val="16"/>
        </w:rPr>
      </w:pPr>
      <w:r w:rsidRPr="00781112">
        <w:rPr>
          <w:rFonts w:cs="Arial"/>
          <w:color w:val="000000" w:themeColor="text1"/>
          <w:szCs w:val="16"/>
        </w:rPr>
        <w:t xml:space="preserve">The data for indicator 4 reflect school year 20-21, and were substantially affected by the pandemic. LEAs used suspensions significantly less frequently than in prior years, and the number of suspensions dropped substantially. As a result, fewer LEAs met the minimum cell and n-count than in prior years. Thus, while the number of LEAs that were discrepant also decreased, the overall percentage of discrepant LEAs increased because the denominator was smaller. </w:t>
      </w:r>
      <w:r w:rsidRPr="00781112">
        <w:rPr>
          <w:rFonts w:cs="Arial"/>
          <w:color w:val="000000" w:themeColor="text1"/>
          <w:szCs w:val="16"/>
        </w:rPr>
        <w:br/>
      </w:r>
      <w:r w:rsidRPr="00781112">
        <w:rPr>
          <w:rFonts w:cs="Arial"/>
          <w:color w:val="000000" w:themeColor="text1"/>
          <w:szCs w:val="16"/>
        </w:rPr>
        <w:br/>
        <w:t>The number of districts using suspensions with students with disabilities increased dramatically in SY 21-22, with many more meeting the minimum reporting requirements.</w:t>
      </w:r>
    </w:p>
    <w:bookmarkEnd w:id="24"/>
    <w:bookmarkEnd w:id="25"/>
    <w:p w14:paraId="227CCB46" w14:textId="77777777" w:rsidR="007E6F97" w:rsidRPr="00781112" w:rsidRDefault="007E6F97" w:rsidP="004369B2">
      <w:pPr>
        <w:rPr>
          <w:color w:val="000000" w:themeColor="text1"/>
        </w:rPr>
      </w:pPr>
    </w:p>
    <w:p w14:paraId="3F63E777" w14:textId="4BB19917" w:rsidR="00082667" w:rsidRPr="00781112" w:rsidRDefault="00082667" w:rsidP="004369B2">
      <w:pPr>
        <w:rPr>
          <w:color w:val="000000" w:themeColor="text1"/>
        </w:rPr>
      </w:pPr>
      <w:r w:rsidRPr="00781112">
        <w:rPr>
          <w:b/>
          <w:color w:val="000000" w:themeColor="text1"/>
        </w:rPr>
        <w:t>Review of Policies, Procedures, and Practices (completed in FFY 2021 using 2020-2021 data)</w:t>
      </w:r>
    </w:p>
    <w:p w14:paraId="76B39D83" w14:textId="1E1AB613" w:rsidR="00082667" w:rsidRPr="00781112" w:rsidRDefault="00571EAB" w:rsidP="00162F4A">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14:paraId="040DE8B4" w14:textId="52454A8A" w:rsidR="002D57DA" w:rsidRPr="00781112" w:rsidRDefault="002B7490" w:rsidP="00082667">
      <w:pPr>
        <w:rPr>
          <w:rFonts w:cs="Arial"/>
          <w:color w:val="000000" w:themeColor="text1"/>
          <w:szCs w:val="16"/>
        </w:rPr>
      </w:pPr>
      <w:r w:rsidRPr="00781112">
        <w:rPr>
          <w:rFonts w:cs="Arial"/>
          <w:color w:val="000000" w:themeColor="text1"/>
          <w:szCs w:val="16"/>
        </w:rPr>
        <w:t>Annually, districts are required to upload their policies, practices and procedures related to special education identification in their LEA Assurances and Agreement. Districts are notified of any discrepancies when they receive their annual District Data Profile. Those identified as being discrepant in discipline in one or more racial and ethnic groups are subject to an in-depth review of their policies, procedures, and practices with attention to the development and implementation of IEPs, the use of PBIS practices, and procedural safeguards. These reviews are conducted by experienced and knowledgeable SEA personnel. A review of policies, procedures, and practices occurs during all general supervision and monitoring activities, also.</w:t>
      </w:r>
      <w:r w:rsidRPr="00781112">
        <w:rPr>
          <w:rFonts w:cs="Arial"/>
          <w:color w:val="000000" w:themeColor="text1"/>
          <w:szCs w:val="16"/>
        </w:rPr>
        <w:br/>
      </w:r>
      <w:r w:rsidRPr="00781112">
        <w:rPr>
          <w:rFonts w:cs="Arial"/>
          <w:color w:val="000000" w:themeColor="text1"/>
          <w:szCs w:val="16"/>
        </w:rPr>
        <w:br/>
        <w:t xml:space="preserve">In 2020-2021, four LEAs were found to have significant discrepancy in discipline rates by race and/or ethnicity. The LEAs were notified of their discrepancy in October 2021 on their District Data Profiles. At that time, SEA personnel conducted detailed reviews of the policies, practices and procedures of these LEAs and determined that none demonstrated noncompliance. </w:t>
      </w:r>
      <w:r w:rsidRPr="00781112">
        <w:rPr>
          <w:rFonts w:cs="Arial"/>
          <w:color w:val="000000" w:themeColor="text1"/>
          <w:szCs w:val="16"/>
        </w:rPr>
        <w:br/>
      </w:r>
      <w:r w:rsidRPr="00781112">
        <w:rPr>
          <w:rFonts w:cs="Arial"/>
          <w:color w:val="000000" w:themeColor="text1"/>
          <w:szCs w:val="16"/>
        </w:rPr>
        <w:br/>
        <w:t>The State DID NOT identify noncompliance with Part B requirements as a result of the review required by 34 CFR §300.170(b)</w:t>
      </w:r>
    </w:p>
    <w:p w14:paraId="47497C41" w14:textId="77777777" w:rsidR="003B64C0" w:rsidRPr="00781112" w:rsidRDefault="003B64C0" w:rsidP="00082667">
      <w:pPr>
        <w:rPr>
          <w:rFonts w:cs="Arial"/>
          <w:color w:val="000000" w:themeColor="text1"/>
          <w:szCs w:val="16"/>
        </w:rPr>
      </w:pPr>
    </w:p>
    <w:p w14:paraId="38E1E629" w14:textId="1EF02333" w:rsidR="003B64C0" w:rsidRPr="00781112" w:rsidRDefault="003B64C0" w:rsidP="00082667">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1295BAEB" w14:textId="77777777" w:rsidR="007E6F97" w:rsidRPr="00781112" w:rsidRDefault="007E6F97" w:rsidP="004369B2">
      <w:pPr>
        <w:rPr>
          <w:color w:val="000000" w:themeColor="text1"/>
        </w:rPr>
      </w:pPr>
      <w:bookmarkStart w:id="26" w:name="_Toc381956335"/>
      <w:bookmarkStart w:id="27" w:name="_Toc384383336"/>
      <w:bookmarkStart w:id="28" w:name="_Toc392159288"/>
    </w:p>
    <w:p w14:paraId="0496594E" w14:textId="774AE8E9" w:rsidR="00B9048A" w:rsidRPr="00781112" w:rsidRDefault="00450F98" w:rsidP="004369B2">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5E5B522D" w14:textId="77777777" w:rsidTr="000D3273">
        <w:trPr>
          <w:trHeight w:val="389"/>
          <w:tblHeader/>
        </w:trPr>
        <w:tc>
          <w:tcPr>
            <w:tcW w:w="1211" w:type="pct"/>
            <w:shd w:val="clear" w:color="auto" w:fill="auto"/>
            <w:vAlign w:val="bottom"/>
          </w:tcPr>
          <w:p w14:paraId="16ECB6B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lastRenderedPageBreak/>
              <w:t>Findings of Noncompliance Identified</w:t>
            </w:r>
          </w:p>
        </w:tc>
        <w:tc>
          <w:tcPr>
            <w:tcW w:w="1271" w:type="pct"/>
            <w:shd w:val="clear" w:color="auto" w:fill="auto"/>
            <w:vAlign w:val="bottom"/>
          </w:tcPr>
          <w:p w14:paraId="122A58D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7D9FA33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704691F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1836014" w14:textId="77777777" w:rsidTr="000D3273">
        <w:tc>
          <w:tcPr>
            <w:tcW w:w="1211" w:type="pct"/>
            <w:shd w:val="clear" w:color="auto" w:fill="auto"/>
          </w:tcPr>
          <w:p w14:paraId="706C7C42" w14:textId="616D64A9"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0CE7F01B" w14:textId="4009BBFE"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38F306AA" w14:textId="2CC74FE3"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E536CD7" w14:textId="387A8666"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809AF49" w14:textId="317C63F0" w:rsidR="00B9048A" w:rsidRPr="00781112" w:rsidRDefault="00450F98" w:rsidP="004369B2">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6E94B7A5" w14:textId="77777777" w:rsidTr="00AB0D6A">
        <w:trPr>
          <w:tblHeader/>
        </w:trPr>
        <w:tc>
          <w:tcPr>
            <w:tcW w:w="1027" w:type="pct"/>
            <w:shd w:val="clear" w:color="auto" w:fill="auto"/>
            <w:vAlign w:val="bottom"/>
          </w:tcPr>
          <w:p w14:paraId="673CA265" w14:textId="007E8E78"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shd w:val="clear" w:color="auto" w:fill="auto"/>
            <w:vAlign w:val="bottom"/>
          </w:tcPr>
          <w:p w14:paraId="1C2EE691" w14:textId="0C12AD48" w:rsidR="00B9048A" w:rsidRPr="00781112" w:rsidRDefault="00450F98" w:rsidP="001F692C">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350" w:type="pct"/>
            <w:shd w:val="clear" w:color="auto" w:fill="auto"/>
            <w:vAlign w:val="bottom"/>
          </w:tcPr>
          <w:p w14:paraId="4E50156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7151EA4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80087A2" w14:textId="77777777" w:rsidTr="00AB0D6A">
        <w:tc>
          <w:tcPr>
            <w:tcW w:w="1027" w:type="pct"/>
            <w:shd w:val="clear" w:color="auto" w:fill="auto"/>
          </w:tcPr>
          <w:p w14:paraId="5A5634D8" w14:textId="5AC3BEAC" w:rsidR="000C7B90" w:rsidRPr="00781112" w:rsidRDefault="000C7B90" w:rsidP="00A018D4">
            <w:pPr>
              <w:jc w:val="center"/>
              <w:rPr>
                <w:rFonts w:cs="Arial"/>
                <w:color w:val="000000" w:themeColor="text1"/>
                <w:szCs w:val="16"/>
              </w:rPr>
            </w:pPr>
          </w:p>
        </w:tc>
        <w:tc>
          <w:tcPr>
            <w:tcW w:w="1354" w:type="pct"/>
            <w:shd w:val="clear" w:color="auto" w:fill="auto"/>
          </w:tcPr>
          <w:p w14:paraId="38361EB5" w14:textId="479B3693" w:rsidR="000C7B90" w:rsidRPr="00781112" w:rsidRDefault="000C7B90">
            <w:pPr>
              <w:jc w:val="center"/>
              <w:rPr>
                <w:rFonts w:cs="Arial"/>
                <w:noProof/>
                <w:color w:val="000000" w:themeColor="text1"/>
                <w:szCs w:val="16"/>
              </w:rPr>
            </w:pPr>
          </w:p>
        </w:tc>
        <w:tc>
          <w:tcPr>
            <w:tcW w:w="1350" w:type="pct"/>
            <w:shd w:val="clear" w:color="auto" w:fill="auto"/>
          </w:tcPr>
          <w:p w14:paraId="0F44D03C" w14:textId="3887F715" w:rsidR="000C7B90" w:rsidRPr="00781112" w:rsidRDefault="000C7B90">
            <w:pPr>
              <w:jc w:val="center"/>
              <w:rPr>
                <w:rFonts w:cs="Arial"/>
                <w:noProof/>
                <w:color w:val="000000" w:themeColor="text1"/>
                <w:szCs w:val="16"/>
              </w:rPr>
            </w:pPr>
          </w:p>
        </w:tc>
        <w:tc>
          <w:tcPr>
            <w:tcW w:w="1269" w:type="pct"/>
            <w:shd w:val="clear" w:color="auto" w:fill="auto"/>
          </w:tcPr>
          <w:p w14:paraId="5DF55667" w14:textId="0913E6B4" w:rsidR="000C7B90" w:rsidRPr="00781112" w:rsidRDefault="000C7B90">
            <w:pPr>
              <w:jc w:val="center"/>
              <w:rPr>
                <w:rFonts w:cs="Arial"/>
                <w:noProof/>
                <w:color w:val="000000" w:themeColor="text1"/>
                <w:szCs w:val="16"/>
              </w:rPr>
            </w:pPr>
          </w:p>
        </w:tc>
      </w:tr>
      <w:tr w:rsidR="005C29F8" w:rsidRPr="00781112" w14:paraId="3BB76F7F" w14:textId="77777777" w:rsidTr="00AB0D6A">
        <w:tc>
          <w:tcPr>
            <w:tcW w:w="1027" w:type="pct"/>
            <w:shd w:val="clear" w:color="auto" w:fill="auto"/>
          </w:tcPr>
          <w:p w14:paraId="3E53BDFC" w14:textId="49B50F7D" w:rsidR="000C7B90" w:rsidRPr="00781112" w:rsidRDefault="000C7B90" w:rsidP="00A018D4">
            <w:pPr>
              <w:jc w:val="center"/>
              <w:rPr>
                <w:rFonts w:cs="Arial"/>
                <w:color w:val="000000" w:themeColor="text1"/>
                <w:szCs w:val="16"/>
              </w:rPr>
            </w:pPr>
          </w:p>
        </w:tc>
        <w:tc>
          <w:tcPr>
            <w:tcW w:w="1354" w:type="pct"/>
            <w:shd w:val="clear" w:color="auto" w:fill="auto"/>
          </w:tcPr>
          <w:p w14:paraId="2DAC4ACF" w14:textId="6DFB36C9" w:rsidR="000C7B90" w:rsidRPr="00781112" w:rsidRDefault="000C7B90">
            <w:pPr>
              <w:jc w:val="center"/>
              <w:rPr>
                <w:rFonts w:cs="Arial"/>
                <w:noProof/>
                <w:color w:val="000000" w:themeColor="text1"/>
                <w:szCs w:val="16"/>
              </w:rPr>
            </w:pPr>
          </w:p>
        </w:tc>
        <w:tc>
          <w:tcPr>
            <w:tcW w:w="1350" w:type="pct"/>
            <w:shd w:val="clear" w:color="auto" w:fill="auto"/>
          </w:tcPr>
          <w:p w14:paraId="45BEAE02" w14:textId="10E4F499" w:rsidR="000C7B90" w:rsidRPr="00781112" w:rsidRDefault="000C7B90">
            <w:pPr>
              <w:jc w:val="center"/>
              <w:rPr>
                <w:rFonts w:cs="Arial"/>
                <w:noProof/>
                <w:color w:val="000000" w:themeColor="text1"/>
                <w:szCs w:val="16"/>
              </w:rPr>
            </w:pPr>
          </w:p>
        </w:tc>
        <w:tc>
          <w:tcPr>
            <w:tcW w:w="1269" w:type="pct"/>
            <w:shd w:val="clear" w:color="auto" w:fill="auto"/>
          </w:tcPr>
          <w:p w14:paraId="3F264F27" w14:textId="46B36D97" w:rsidR="000C7B90" w:rsidRPr="00781112" w:rsidRDefault="000C7B90">
            <w:pPr>
              <w:jc w:val="center"/>
              <w:rPr>
                <w:rFonts w:cs="Arial"/>
                <w:noProof/>
                <w:color w:val="000000" w:themeColor="text1"/>
                <w:szCs w:val="16"/>
              </w:rPr>
            </w:pPr>
          </w:p>
        </w:tc>
      </w:tr>
      <w:tr w:rsidR="005C29F8" w:rsidRPr="00781112" w14:paraId="21B66B81" w14:textId="77777777" w:rsidTr="00AB0D6A">
        <w:tc>
          <w:tcPr>
            <w:tcW w:w="1027" w:type="pct"/>
            <w:shd w:val="clear" w:color="auto" w:fill="auto"/>
          </w:tcPr>
          <w:p w14:paraId="65918C5C" w14:textId="6650DAE7" w:rsidR="000C7B90" w:rsidRPr="00781112" w:rsidRDefault="000C7B90" w:rsidP="00A018D4">
            <w:pPr>
              <w:jc w:val="center"/>
              <w:rPr>
                <w:rFonts w:cs="Arial"/>
                <w:color w:val="000000" w:themeColor="text1"/>
                <w:szCs w:val="16"/>
              </w:rPr>
            </w:pPr>
          </w:p>
        </w:tc>
        <w:tc>
          <w:tcPr>
            <w:tcW w:w="1354" w:type="pct"/>
            <w:shd w:val="clear" w:color="auto" w:fill="auto"/>
          </w:tcPr>
          <w:p w14:paraId="1BC28F5F" w14:textId="383929AE" w:rsidR="000C7B90" w:rsidRPr="00781112" w:rsidRDefault="000C7B90">
            <w:pPr>
              <w:jc w:val="center"/>
              <w:rPr>
                <w:rFonts w:cs="Arial"/>
                <w:noProof/>
                <w:color w:val="000000" w:themeColor="text1"/>
                <w:szCs w:val="16"/>
              </w:rPr>
            </w:pPr>
          </w:p>
        </w:tc>
        <w:tc>
          <w:tcPr>
            <w:tcW w:w="1350" w:type="pct"/>
            <w:shd w:val="clear" w:color="auto" w:fill="auto"/>
          </w:tcPr>
          <w:p w14:paraId="12030336" w14:textId="25AE5462" w:rsidR="000C7B90" w:rsidRPr="00781112" w:rsidRDefault="000C7B90">
            <w:pPr>
              <w:jc w:val="center"/>
              <w:rPr>
                <w:rFonts w:cs="Arial"/>
                <w:noProof/>
                <w:color w:val="000000" w:themeColor="text1"/>
                <w:szCs w:val="16"/>
              </w:rPr>
            </w:pPr>
          </w:p>
        </w:tc>
        <w:tc>
          <w:tcPr>
            <w:tcW w:w="1269" w:type="pct"/>
            <w:shd w:val="clear" w:color="auto" w:fill="auto"/>
          </w:tcPr>
          <w:p w14:paraId="189EDDF9" w14:textId="00F3EE08" w:rsidR="000C7B90" w:rsidRPr="00781112" w:rsidRDefault="000C7B90">
            <w:pPr>
              <w:jc w:val="center"/>
              <w:rPr>
                <w:rFonts w:cs="Arial"/>
                <w:noProof/>
                <w:color w:val="000000" w:themeColor="text1"/>
                <w:szCs w:val="16"/>
              </w:rPr>
            </w:pPr>
          </w:p>
        </w:tc>
      </w:tr>
    </w:tbl>
    <w:p w14:paraId="21AE82C7" w14:textId="33B9781C" w:rsidR="004E2151" w:rsidRPr="00781112" w:rsidRDefault="00697434" w:rsidP="008645AD">
      <w:pPr>
        <w:pStyle w:val="Heading2"/>
      </w:pPr>
      <w:r w:rsidRPr="00781112">
        <w:t>4A</w:t>
      </w:r>
      <w:r w:rsidR="00DA3C7A" w:rsidRPr="00781112">
        <w:t xml:space="preserve"> </w:t>
      </w:r>
      <w:r w:rsidRPr="00781112">
        <w:t xml:space="preserve">- </w:t>
      </w:r>
      <w:r w:rsidR="004E2151" w:rsidRPr="00781112">
        <w:t>Prior FFY Required Actions</w:t>
      </w:r>
    </w:p>
    <w:p w14:paraId="3EDBC3E4" w14:textId="0BA98152" w:rsidR="004E2151" w:rsidRPr="00781112" w:rsidRDefault="002B7490" w:rsidP="004E2151">
      <w:pPr>
        <w:rPr>
          <w:rFonts w:cs="Arial"/>
          <w:color w:val="000000" w:themeColor="text1"/>
          <w:szCs w:val="16"/>
        </w:rPr>
      </w:pPr>
      <w:r w:rsidRPr="00781112">
        <w:rPr>
          <w:rFonts w:cs="Arial"/>
          <w:color w:val="000000" w:themeColor="text1"/>
          <w:szCs w:val="16"/>
        </w:rPr>
        <w:t>None</w:t>
      </w:r>
    </w:p>
    <w:p w14:paraId="54E863CC" w14:textId="77777777" w:rsidR="009B02BC" w:rsidRPr="00781112" w:rsidRDefault="009B02BC" w:rsidP="004E2151">
      <w:pPr>
        <w:rPr>
          <w:rFonts w:cs="Arial"/>
          <w:color w:val="000000" w:themeColor="text1"/>
          <w:szCs w:val="16"/>
        </w:rPr>
      </w:pPr>
    </w:p>
    <w:p w14:paraId="1480A7D2" w14:textId="5B38CB62" w:rsidR="009B02BC" w:rsidRPr="00781112" w:rsidRDefault="009B02BC" w:rsidP="004E2151">
      <w:pPr>
        <w:rPr>
          <w:rFonts w:cs="Arial"/>
          <w:color w:val="000000" w:themeColor="text1"/>
          <w:szCs w:val="16"/>
        </w:rPr>
      </w:pPr>
    </w:p>
    <w:p w14:paraId="537673C8" w14:textId="6D41A3A2" w:rsidR="005115D6" w:rsidRPr="00781112" w:rsidRDefault="001E2193" w:rsidP="008645AD">
      <w:pPr>
        <w:pStyle w:val="Heading2"/>
      </w:pPr>
      <w:r w:rsidRPr="00781112">
        <w:t>4A - OSEP Response</w:t>
      </w:r>
    </w:p>
    <w:p w14:paraId="6408916F" w14:textId="5ADBBBB9" w:rsidR="002D57DA" w:rsidRPr="00781112" w:rsidRDefault="002B7490" w:rsidP="00212954">
      <w:pPr>
        <w:rPr>
          <w:rFonts w:cs="Arial"/>
          <w:color w:val="000000" w:themeColor="text1"/>
          <w:szCs w:val="16"/>
        </w:rPr>
      </w:pPr>
      <w:r w:rsidRPr="00781112">
        <w:rPr>
          <w:rFonts w:cs="Arial"/>
          <w:color w:val="000000" w:themeColor="text1"/>
          <w:szCs w:val="16"/>
        </w:rPr>
        <w:t>In the FFY 2021 SPP/APR the State included a very low percentage of the State’s LEAs in its analysis of rates of suspension and expulsion of greater than 10 days in a school year for children with IEPs.  OSEP recognizes the State reported, "The data for indicator 4 reflect school year 20-21, and were substantially affected by the pandemic. LEAs used suspensions significantly less frequently than in prior years, and the number of suspensions dropped substantially. As a result, fewer LEAs met the minimum cell and n-count than in prior years." OSEP reminds the State that if the examination for significant discrepancies in the rates of suspensions and expulsions greater than 10 days in a school year for children with IEPs is not occurring in any meaningful way at the LEA level, OSEP may determine that a State’s chosen methodology is not reasonably designed to determine if significant discrepancies are occurring in the rate of long-term suspensions and expulsions of children with IEPs.</w:t>
      </w:r>
    </w:p>
    <w:p w14:paraId="146BDB91" w14:textId="0A2F7969" w:rsidR="005115D6" w:rsidRPr="00781112" w:rsidRDefault="00697434" w:rsidP="008645AD">
      <w:pPr>
        <w:pStyle w:val="Heading2"/>
      </w:pPr>
      <w:r w:rsidRPr="00781112">
        <w:t>4A - Required Actions</w:t>
      </w:r>
    </w:p>
    <w:p w14:paraId="37BECDFE" w14:textId="2A43AB88" w:rsidR="002D57DA" w:rsidRPr="00781112" w:rsidRDefault="002B7490" w:rsidP="00212954">
      <w:pPr>
        <w:rPr>
          <w:rFonts w:cs="Arial"/>
          <w:color w:val="000000" w:themeColor="text1"/>
          <w:szCs w:val="16"/>
        </w:rPr>
      </w:pPr>
      <w:r w:rsidRPr="00781112">
        <w:rPr>
          <w:rFonts w:cs="Arial"/>
          <w:color w:val="000000" w:themeColor="text1"/>
          <w:szCs w:val="16"/>
        </w:rPr>
        <w:t xml:space="preserve">In the FFY 2022 SPP/APR, the State must explain how its methodology is reasonably designed to determine if significant discrepancies are occurring in the rate of suspensions and expulsions of greater than 10 days in a school year for children with IEPs, including how the State’s LEAs are being examined for significant discrepancy under the State’s chosen methodology. </w:t>
      </w:r>
    </w:p>
    <w:p w14:paraId="5E6ED96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58544B7" w14:textId="204E8DB3" w:rsidR="00D03701" w:rsidRPr="00781112" w:rsidRDefault="00D03701" w:rsidP="000444E2">
      <w:pPr>
        <w:pStyle w:val="Heading1"/>
        <w:rPr>
          <w:color w:val="000000" w:themeColor="text1"/>
          <w:sz w:val="22"/>
        </w:rPr>
      </w:pPr>
      <w:r w:rsidRPr="00781112">
        <w:rPr>
          <w:color w:val="000000" w:themeColor="text1"/>
          <w:sz w:val="22"/>
        </w:rPr>
        <w:lastRenderedPageBreak/>
        <w:t>Indicator 4B: Suspension/Expulsion</w:t>
      </w:r>
      <w:bookmarkEnd w:id="26"/>
      <w:bookmarkEnd w:id="27"/>
      <w:bookmarkEnd w:id="28"/>
    </w:p>
    <w:p w14:paraId="1BA30D93" w14:textId="77777777" w:rsidR="008637F8" w:rsidRPr="00781112" w:rsidRDefault="008637F8" w:rsidP="00A018D4">
      <w:pPr>
        <w:rPr>
          <w:color w:val="000000" w:themeColor="text1"/>
          <w:szCs w:val="20"/>
        </w:rPr>
      </w:pPr>
      <w:bookmarkStart w:id="29" w:name="_Toc384383338"/>
      <w:bookmarkStart w:id="30" w:name="_Toc392159290"/>
      <w:r w:rsidRPr="00781112">
        <w:rPr>
          <w:b/>
          <w:color w:val="000000" w:themeColor="text1"/>
          <w:sz w:val="20"/>
          <w:szCs w:val="20"/>
        </w:rPr>
        <w:t xml:space="preserve">Instructions and Measurement </w:t>
      </w:r>
    </w:p>
    <w:p w14:paraId="0904D95C" w14:textId="6ABD6544"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7516B53F" w14:textId="25CEE12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3739388D" w14:textId="512C0A32"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expulsions of greater than 10 days in a school year for children with IEPs; and</w:t>
      </w:r>
    </w:p>
    <w:p w14:paraId="021F68CD" w14:textId="4F839DD4"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7034F485" w14:textId="41B53DB5"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5F946B13" w14:textId="77777777" w:rsidR="00413366" w:rsidRPr="00781112" w:rsidRDefault="00413366" w:rsidP="004369B2">
      <w:pPr>
        <w:rPr>
          <w:color w:val="000000" w:themeColor="text1"/>
        </w:rPr>
      </w:pPr>
      <w:r w:rsidRPr="00781112">
        <w:rPr>
          <w:b/>
          <w:color w:val="000000" w:themeColor="text1"/>
        </w:rPr>
        <w:t>Data Source</w:t>
      </w:r>
    </w:p>
    <w:p w14:paraId="5BDC9967"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38F5E274" w14:textId="77777777" w:rsidR="00413366" w:rsidRPr="00781112" w:rsidRDefault="00413366" w:rsidP="004369B2">
      <w:pPr>
        <w:rPr>
          <w:color w:val="000000" w:themeColor="text1"/>
        </w:rPr>
      </w:pPr>
      <w:r w:rsidRPr="00781112">
        <w:rPr>
          <w:b/>
          <w:color w:val="000000" w:themeColor="text1"/>
        </w:rPr>
        <w:t>Measurement</w:t>
      </w:r>
    </w:p>
    <w:p w14:paraId="509BF292" w14:textId="47666D05"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09B5AE3F"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19EA6D3F" w14:textId="77777777" w:rsidR="00413366" w:rsidRPr="00781112" w:rsidRDefault="00413366" w:rsidP="004369B2">
      <w:pPr>
        <w:rPr>
          <w:color w:val="000000" w:themeColor="text1"/>
        </w:rPr>
      </w:pPr>
      <w:r w:rsidRPr="00781112">
        <w:rPr>
          <w:b/>
          <w:color w:val="000000" w:themeColor="text1"/>
        </w:rPr>
        <w:t>Instructions</w:t>
      </w:r>
    </w:p>
    <w:p w14:paraId="516DD2DE" w14:textId="74244F0A" w:rsidR="00413366" w:rsidRPr="00781112" w:rsidRDefault="00413366" w:rsidP="00BB7BC9">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LEAs that met that State-established n and/or cell size. If the State used a minimum n and/or cell size requirement, report the number of LEAs totally excluded from the calculation as a result of this requirement.</w:t>
      </w:r>
    </w:p>
    <w:p w14:paraId="7D3F6556" w14:textId="5729C359"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2021 SPP/APR, use data from 2020-2021),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041F9A85" w14:textId="0566F4DA" w:rsidR="00413366" w:rsidRPr="00781112" w:rsidRDefault="00515E61"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4B77809C" w14:textId="04050159" w:rsidR="00413366" w:rsidRPr="00781112" w:rsidRDefault="00515E61"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to nondisabled children within the LEAs</w:t>
      </w:r>
    </w:p>
    <w:p w14:paraId="428DC587" w14:textId="18ECA0E1"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537B541" w14:textId="1CD26E02" w:rsidR="00474DB4" w:rsidRPr="00781112" w:rsidRDefault="00474DB4" w:rsidP="00474DB4">
      <w:pPr>
        <w:rPr>
          <w:rFonts w:cs="Arial"/>
          <w:szCs w:val="16"/>
        </w:rPr>
      </w:pPr>
      <w:r w:rsidRPr="00781112">
        <w:rPr>
          <w:rFonts w:cs="Arial"/>
          <w:szCs w:val="16"/>
        </w:rPr>
        <w:t>Because the measurement table requires that the data examined for this indicator are lag year data, States should examine the 618 data that was submitted by LEAs that were in operation during the school year before the reporting year. For example, if a State has 100 LEAs operating in the 2020-2021 school year, those 100 LEAs would have reported 618 data in 2020-2021 on the number of children suspended/expelled. If the State then opens 15 new LEAs in 2021-2022, suspension/expulsion data from those 15 new LEAs would not be in the 2020-2021 618 data set, and therefore, those 15 new LEAs should not be included in the denominator of the calculation. States must use the number of LEAs from the year before the reporting year in its calculation for this indicator. For the FFY 2021 SPP/APR submission, States must use the number of LEAs reported in 2020-2021 (which can be found in the FFY 2020 SPP/APR introduction).</w:t>
      </w:r>
    </w:p>
    <w:p w14:paraId="42FA82A8" w14:textId="776B256B"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 and do not comply with requirements relating to the development and implementation of IEPs, the use of positive behavioral interventions and supports, and procedural safeguards.</w:t>
      </w:r>
    </w:p>
    <w:p w14:paraId="1F7345F8" w14:textId="014486D4" w:rsidR="00413366" w:rsidRPr="00781112" w:rsidRDefault="00413366" w:rsidP="00BB7BC9">
      <w:pPr>
        <w:rPr>
          <w:rFonts w:cs="Arial"/>
          <w:color w:val="000000" w:themeColor="text1"/>
          <w:szCs w:val="16"/>
        </w:rPr>
      </w:pPr>
      <w:r w:rsidRPr="00781112">
        <w:rPr>
          <w:rFonts w:cs="Arial"/>
          <w:color w:val="000000" w:themeColor="text1"/>
          <w:szCs w:val="16"/>
        </w:rPr>
        <w:t xml:space="preserve">Provide detailed information about the timely correction of 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 Memorandum 09-02, dated October 17, 2008.</w:t>
      </w:r>
    </w:p>
    <w:p w14:paraId="244FF3E4" w14:textId="77777777"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2A4C3F88" w14:textId="6B69F87E" w:rsidR="00413366" w:rsidRPr="00781112"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4A2E05BE" w14:textId="77777777" w:rsidR="00413366" w:rsidRPr="00781112" w:rsidRDefault="00413366" w:rsidP="00BB7BC9">
      <w:pPr>
        <w:rPr>
          <w:rFonts w:cs="Arial"/>
          <w:color w:val="000000" w:themeColor="text1"/>
          <w:szCs w:val="16"/>
        </w:rPr>
      </w:pPr>
      <w:r w:rsidRPr="00781112">
        <w:rPr>
          <w:rFonts w:cs="Arial"/>
          <w:color w:val="000000" w:themeColor="text1"/>
          <w:szCs w:val="16"/>
        </w:rPr>
        <w:t>Targets must be 0% for 4B.</w:t>
      </w:r>
    </w:p>
    <w:p w14:paraId="1D15A8F4" w14:textId="6546AA23" w:rsidR="00D90B7C" w:rsidRPr="00781112" w:rsidRDefault="00D11730" w:rsidP="008645AD">
      <w:pPr>
        <w:pStyle w:val="Heading2"/>
      </w:pPr>
      <w:r w:rsidRPr="00781112">
        <w:t>4B</w:t>
      </w:r>
      <w:r w:rsidR="00E90DE9" w:rsidRPr="00781112">
        <w:t xml:space="preserve"> </w:t>
      </w:r>
      <w:r w:rsidRPr="00781112">
        <w:t xml:space="preserve">- </w:t>
      </w:r>
      <w:r w:rsidR="00D90B7C" w:rsidRPr="00781112">
        <w:t>Indicator Data</w:t>
      </w:r>
    </w:p>
    <w:p w14:paraId="435C0FC5" w14:textId="77777777" w:rsidR="0091098C" w:rsidRPr="00781112" w:rsidRDefault="0091098C" w:rsidP="004369B2">
      <w:pPr>
        <w:rPr>
          <w:color w:val="000000" w:themeColor="text1"/>
        </w:rPr>
      </w:pPr>
    </w:p>
    <w:p w14:paraId="113E64CF" w14:textId="7EACB9AD" w:rsidR="00CA0009" w:rsidRPr="00781112" w:rsidRDefault="0091098C" w:rsidP="004369B2">
      <w:pPr>
        <w:rPr>
          <w:color w:val="000000" w:themeColor="text1"/>
        </w:rPr>
      </w:pPr>
      <w:r w:rsidRPr="00781112">
        <w:rPr>
          <w:b/>
          <w:color w:val="000000" w:themeColor="text1"/>
        </w:rPr>
        <w:t>Not Applicable</w:t>
      </w:r>
    </w:p>
    <w:p w14:paraId="01A6DC15" w14:textId="244F6F21" w:rsidR="00F9524E" w:rsidRPr="00781112" w:rsidRDefault="00C144E3" w:rsidP="004369B2">
      <w:pPr>
        <w:rPr>
          <w:b/>
          <w:color w:val="000000" w:themeColor="text1"/>
        </w:rPr>
      </w:pPr>
      <w:r w:rsidRPr="00781112">
        <w:rPr>
          <w:b/>
          <w:color w:val="000000" w:themeColor="text1"/>
        </w:rPr>
        <w:t>Select yes if this indicator is not applicable.</w:t>
      </w:r>
    </w:p>
    <w:p w14:paraId="53F0BC7A" w14:textId="32C15B12" w:rsidR="00F85593" w:rsidRPr="00781112" w:rsidRDefault="00F85593" w:rsidP="004369B2">
      <w:pPr>
        <w:rPr>
          <w:rFonts w:cs="Arial"/>
          <w:color w:val="000000" w:themeColor="text1"/>
          <w:szCs w:val="16"/>
        </w:rPr>
      </w:pPr>
      <w:r w:rsidRPr="00781112">
        <w:rPr>
          <w:rFonts w:cs="Arial"/>
          <w:color w:val="000000" w:themeColor="text1"/>
          <w:szCs w:val="16"/>
        </w:rPr>
        <w:t>NO</w:t>
      </w:r>
    </w:p>
    <w:p w14:paraId="2A73B0E0" w14:textId="77777777" w:rsidR="00CF0A73" w:rsidRPr="00781112" w:rsidRDefault="00CF0A73" w:rsidP="004369B2">
      <w:pPr>
        <w:rPr>
          <w:color w:val="000000" w:themeColor="text1"/>
        </w:rPr>
      </w:pPr>
    </w:p>
    <w:p w14:paraId="069D75E9" w14:textId="5200D253"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79576181" w14:textId="77777777" w:rsidTr="00123D76">
        <w:trPr>
          <w:trHeight w:val="311"/>
          <w:tblHeader/>
        </w:trPr>
        <w:tc>
          <w:tcPr>
            <w:tcW w:w="2562" w:type="dxa"/>
          </w:tcPr>
          <w:p w14:paraId="3F975A24" w14:textId="77777777" w:rsidR="001F64DB" w:rsidRPr="00781112" w:rsidRDefault="001F64DB" w:rsidP="00123D76">
            <w:pPr>
              <w:jc w:val="center"/>
              <w:rPr>
                <w:b/>
                <w:color w:val="000000" w:themeColor="text1"/>
              </w:rPr>
            </w:pPr>
            <w:r w:rsidRPr="00781112">
              <w:rPr>
                <w:rFonts w:cs="Arial"/>
                <w:b/>
                <w:color w:val="000000" w:themeColor="text1"/>
                <w:szCs w:val="16"/>
              </w:rPr>
              <w:lastRenderedPageBreak/>
              <w:t>Baseline Year</w:t>
            </w:r>
          </w:p>
        </w:tc>
        <w:tc>
          <w:tcPr>
            <w:tcW w:w="2563" w:type="dxa"/>
          </w:tcPr>
          <w:p w14:paraId="2C69FE8E"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53FC8895" w14:textId="77777777" w:rsidTr="00123D76">
        <w:trPr>
          <w:trHeight w:val="311"/>
        </w:trPr>
        <w:tc>
          <w:tcPr>
            <w:tcW w:w="2562" w:type="dxa"/>
            <w:vAlign w:val="center"/>
          </w:tcPr>
          <w:p w14:paraId="28447C7D" w14:textId="6D0F8050" w:rsidR="001F64DB" w:rsidRPr="00781112" w:rsidRDefault="001F64DB" w:rsidP="00123D76">
            <w:pPr>
              <w:jc w:val="center"/>
              <w:rPr>
                <w:b/>
                <w:color w:val="000000" w:themeColor="text1"/>
              </w:rPr>
            </w:pPr>
            <w:r w:rsidRPr="00781112">
              <w:rPr>
                <w:rFonts w:cs="Arial"/>
                <w:color w:val="000000" w:themeColor="text1"/>
                <w:szCs w:val="16"/>
              </w:rPr>
              <w:t>2016</w:t>
            </w:r>
          </w:p>
        </w:tc>
        <w:tc>
          <w:tcPr>
            <w:tcW w:w="2563" w:type="dxa"/>
            <w:vAlign w:val="center"/>
          </w:tcPr>
          <w:p w14:paraId="66688D2B" w14:textId="7F6A1027" w:rsidR="001F64DB" w:rsidRPr="00781112" w:rsidRDefault="001F64DB" w:rsidP="00123D76">
            <w:pPr>
              <w:jc w:val="center"/>
              <w:rPr>
                <w:b/>
                <w:color w:val="000000" w:themeColor="text1"/>
              </w:rPr>
            </w:pPr>
            <w:r w:rsidRPr="00781112">
              <w:rPr>
                <w:rFonts w:cs="Arial"/>
                <w:color w:val="000000" w:themeColor="text1"/>
                <w:szCs w:val="16"/>
              </w:rPr>
              <w:t>0.00%</w:t>
            </w:r>
          </w:p>
        </w:tc>
      </w:tr>
    </w:tbl>
    <w:p w14:paraId="0491A3BB" w14:textId="7F542BF4" w:rsidR="001F64DB" w:rsidRPr="00781112" w:rsidRDefault="001F64DB" w:rsidP="004369B2">
      <w:pPr>
        <w:rPr>
          <w:color w:val="000000" w:themeColor="text1"/>
        </w:rPr>
      </w:pPr>
    </w:p>
    <w:p w14:paraId="5B271C5C"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6E379028" w14:textId="77777777" w:rsidTr="00F90636">
        <w:trPr>
          <w:trHeight w:val="350"/>
        </w:trPr>
        <w:tc>
          <w:tcPr>
            <w:tcW w:w="833" w:type="pct"/>
            <w:tcBorders>
              <w:bottom w:val="single" w:sz="4" w:space="0" w:color="auto"/>
            </w:tcBorders>
            <w:shd w:val="clear" w:color="auto" w:fill="auto"/>
          </w:tcPr>
          <w:p w14:paraId="23D7B707" w14:textId="77777777" w:rsidR="00BB7BC9" w:rsidRPr="00781112" w:rsidRDefault="00BB7BC9" w:rsidP="004369B2">
            <w:pPr>
              <w:jc w:val="center"/>
              <w:rPr>
                <w:b/>
                <w:color w:val="000000" w:themeColor="text1"/>
              </w:rPr>
            </w:pPr>
            <w:r w:rsidRPr="00781112">
              <w:rPr>
                <w:b/>
                <w:color w:val="000000" w:themeColor="text1"/>
              </w:rPr>
              <w:t>FFY</w:t>
            </w:r>
          </w:p>
        </w:tc>
        <w:tc>
          <w:tcPr>
            <w:tcW w:w="833" w:type="pct"/>
            <w:shd w:val="clear" w:color="auto" w:fill="auto"/>
          </w:tcPr>
          <w:p w14:paraId="25954044" w14:textId="160ED41F" w:rsidR="00BB7BC9" w:rsidRPr="00781112" w:rsidRDefault="002B7490">
            <w:pPr>
              <w:jc w:val="center"/>
              <w:rPr>
                <w:b/>
                <w:color w:val="000000" w:themeColor="text1"/>
              </w:rPr>
            </w:pPr>
            <w:r w:rsidRPr="00781112">
              <w:rPr>
                <w:b/>
                <w:color w:val="000000" w:themeColor="text1"/>
              </w:rPr>
              <w:t>2016</w:t>
            </w:r>
          </w:p>
        </w:tc>
        <w:tc>
          <w:tcPr>
            <w:tcW w:w="833" w:type="pct"/>
            <w:shd w:val="clear" w:color="auto" w:fill="auto"/>
          </w:tcPr>
          <w:p w14:paraId="69CF376F" w14:textId="7375A3F7" w:rsidR="00BB7BC9"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4D8E8925" w14:textId="689058A4" w:rsidR="00BB7BC9"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703038E4" w14:textId="1BE5FB5A" w:rsidR="00BB7BC9" w:rsidRPr="00781112" w:rsidRDefault="002B7490">
            <w:pPr>
              <w:jc w:val="center"/>
              <w:rPr>
                <w:b/>
                <w:color w:val="000000" w:themeColor="text1"/>
              </w:rPr>
            </w:pPr>
            <w:r w:rsidRPr="00781112">
              <w:rPr>
                <w:b/>
                <w:color w:val="000000" w:themeColor="text1"/>
              </w:rPr>
              <w:t>2019</w:t>
            </w:r>
          </w:p>
        </w:tc>
        <w:tc>
          <w:tcPr>
            <w:tcW w:w="834" w:type="pct"/>
            <w:shd w:val="clear" w:color="auto" w:fill="auto"/>
          </w:tcPr>
          <w:p w14:paraId="0503649D" w14:textId="176B5064" w:rsidR="00BB7BC9" w:rsidRPr="00781112" w:rsidRDefault="002B7490">
            <w:pPr>
              <w:jc w:val="center"/>
              <w:rPr>
                <w:b/>
                <w:color w:val="000000" w:themeColor="text1"/>
              </w:rPr>
            </w:pPr>
            <w:r w:rsidRPr="00781112">
              <w:rPr>
                <w:b/>
                <w:color w:val="000000" w:themeColor="text1"/>
              </w:rPr>
              <w:t>2020</w:t>
            </w:r>
          </w:p>
        </w:tc>
      </w:tr>
      <w:tr w:rsidR="005C29F8" w:rsidRPr="00781112" w14:paraId="39522776" w14:textId="77777777" w:rsidTr="00F90636">
        <w:trPr>
          <w:trHeight w:val="357"/>
        </w:trPr>
        <w:tc>
          <w:tcPr>
            <w:tcW w:w="833" w:type="pct"/>
            <w:shd w:val="clear" w:color="auto" w:fill="auto"/>
            <w:vAlign w:val="center"/>
          </w:tcPr>
          <w:p w14:paraId="64A2466A" w14:textId="3DCD7D97" w:rsidR="00BB7BC9" w:rsidRPr="00781112" w:rsidRDefault="00BB7BC9" w:rsidP="001F692C">
            <w:pPr>
              <w:rPr>
                <w:rFonts w:cs="Arial"/>
                <w:color w:val="000000" w:themeColor="text1"/>
                <w:szCs w:val="16"/>
              </w:rPr>
            </w:pPr>
            <w:r w:rsidRPr="00781112">
              <w:rPr>
                <w:rFonts w:cs="Arial"/>
                <w:color w:val="000000" w:themeColor="text1"/>
                <w:szCs w:val="16"/>
              </w:rPr>
              <w:t>Target</w:t>
            </w:r>
          </w:p>
        </w:tc>
        <w:tc>
          <w:tcPr>
            <w:tcW w:w="833" w:type="pct"/>
            <w:shd w:val="clear" w:color="auto" w:fill="auto"/>
            <w:vAlign w:val="center"/>
          </w:tcPr>
          <w:p w14:paraId="40744253" w14:textId="30F05132"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4721409F" w14:textId="0E67B113"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61B8DEC3" w14:textId="3B00EB70"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0C46D83A" w14:textId="2D54F0BE"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vAlign w:val="center"/>
          </w:tcPr>
          <w:p w14:paraId="14E1E671" w14:textId="1E80073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2F4BE991" w14:textId="77777777" w:rsidTr="00F90636">
        <w:trPr>
          <w:trHeight w:val="85"/>
        </w:trPr>
        <w:tc>
          <w:tcPr>
            <w:tcW w:w="833" w:type="pct"/>
            <w:shd w:val="clear" w:color="auto" w:fill="auto"/>
            <w:vAlign w:val="center"/>
          </w:tcPr>
          <w:p w14:paraId="1FC0AC5E" w14:textId="77777777" w:rsidR="00BB7BC9" w:rsidRPr="00781112" w:rsidRDefault="00BB7BC9" w:rsidP="001F692C">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3DA1451A" w14:textId="7F17AC6B"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6EE4BDB3" w14:textId="2442769C"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84E7243" w14:textId="6DD2B85E"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4826674" w14:textId="13F0F281"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9A1627C" w14:textId="5AC2DD55"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746FB06B" w14:textId="77777777" w:rsidR="00C15355" w:rsidRPr="00781112" w:rsidRDefault="00C15355" w:rsidP="004369B2">
      <w:pPr>
        <w:rPr>
          <w:color w:val="000000" w:themeColor="text1"/>
        </w:rPr>
      </w:pPr>
    </w:p>
    <w:p w14:paraId="31722FA9" w14:textId="62FF3A62" w:rsidR="0016730D" w:rsidRPr="00781112" w:rsidRDefault="0016730D" w:rsidP="004369B2">
      <w:pPr>
        <w:rPr>
          <w:color w:val="000000" w:themeColor="text1"/>
        </w:rPr>
      </w:pPr>
      <w:r w:rsidRPr="00781112">
        <w:rPr>
          <w:b/>
          <w:color w:val="000000" w:themeColor="text1"/>
        </w:rPr>
        <w:t>Targets</w:t>
      </w:r>
    </w:p>
    <w:tbl>
      <w:tblPr>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79"/>
        <w:gridCol w:w="1589"/>
        <w:gridCol w:w="1696"/>
        <w:gridCol w:w="1697"/>
        <w:gridCol w:w="1697"/>
        <w:gridCol w:w="1697"/>
      </w:tblGrid>
      <w:tr w:rsidR="00B14519" w:rsidRPr="00781112" w14:paraId="1019C6DC" w14:textId="17898954" w:rsidTr="00451D7E">
        <w:trPr>
          <w:trHeight w:val="325"/>
        </w:trPr>
        <w:tc>
          <w:tcPr>
            <w:tcW w:w="272" w:type="pct"/>
            <w:tcBorders>
              <w:bottom w:val="single" w:sz="4" w:space="0" w:color="auto"/>
            </w:tcBorders>
            <w:shd w:val="clear" w:color="auto" w:fill="auto"/>
          </w:tcPr>
          <w:p w14:paraId="049B323A" w14:textId="77777777" w:rsidR="00B14519" w:rsidRPr="00781112" w:rsidRDefault="00B14519" w:rsidP="00D62058">
            <w:pPr>
              <w:jc w:val="center"/>
              <w:rPr>
                <w:b/>
                <w:color w:val="000000" w:themeColor="text1"/>
              </w:rPr>
            </w:pPr>
            <w:r w:rsidRPr="00781112">
              <w:rPr>
                <w:b/>
                <w:color w:val="000000" w:themeColor="text1"/>
              </w:rPr>
              <w:t>FFY</w:t>
            </w:r>
          </w:p>
        </w:tc>
        <w:tc>
          <w:tcPr>
            <w:tcW w:w="898" w:type="pct"/>
            <w:shd w:val="clear" w:color="auto" w:fill="auto"/>
          </w:tcPr>
          <w:p w14:paraId="50E287A7" w14:textId="77777777" w:rsidR="00B14519" w:rsidRPr="00781112" w:rsidRDefault="00B14519" w:rsidP="00D62058">
            <w:pPr>
              <w:jc w:val="center"/>
              <w:rPr>
                <w:b/>
                <w:color w:val="000000" w:themeColor="text1"/>
              </w:rPr>
            </w:pPr>
            <w:r w:rsidRPr="00781112">
              <w:rPr>
                <w:b/>
                <w:color w:val="000000" w:themeColor="text1"/>
              </w:rPr>
              <w:t>2021</w:t>
            </w:r>
          </w:p>
        </w:tc>
        <w:tc>
          <w:tcPr>
            <w:tcW w:w="957" w:type="pct"/>
          </w:tcPr>
          <w:p w14:paraId="126623D3" w14:textId="402F1C62" w:rsidR="00B14519" w:rsidRPr="00781112" w:rsidRDefault="00B14519" w:rsidP="00D62058">
            <w:pPr>
              <w:jc w:val="center"/>
              <w:rPr>
                <w:b/>
                <w:color w:val="000000" w:themeColor="text1"/>
              </w:rPr>
            </w:pPr>
            <w:r w:rsidRPr="00781112">
              <w:rPr>
                <w:rFonts w:cs="Arial"/>
                <w:b/>
                <w:color w:val="000000" w:themeColor="text1"/>
                <w:szCs w:val="16"/>
              </w:rPr>
              <w:t>2022</w:t>
            </w:r>
          </w:p>
        </w:tc>
        <w:tc>
          <w:tcPr>
            <w:tcW w:w="957" w:type="pct"/>
          </w:tcPr>
          <w:p w14:paraId="737913FD" w14:textId="6A609FDC" w:rsidR="00B14519" w:rsidRPr="00781112" w:rsidRDefault="00B14519" w:rsidP="00D62058">
            <w:pPr>
              <w:jc w:val="center"/>
              <w:rPr>
                <w:b/>
                <w:color w:val="000000" w:themeColor="text1"/>
              </w:rPr>
            </w:pPr>
            <w:r w:rsidRPr="00781112">
              <w:rPr>
                <w:rFonts w:cs="Arial"/>
                <w:b/>
                <w:color w:val="000000" w:themeColor="text1"/>
                <w:szCs w:val="16"/>
              </w:rPr>
              <w:t>2023</w:t>
            </w:r>
          </w:p>
        </w:tc>
        <w:tc>
          <w:tcPr>
            <w:tcW w:w="957" w:type="pct"/>
          </w:tcPr>
          <w:p w14:paraId="0700D5E9" w14:textId="17E1A6F9" w:rsidR="00B14519" w:rsidRPr="00781112" w:rsidRDefault="00B14519" w:rsidP="00D62058">
            <w:pPr>
              <w:jc w:val="center"/>
              <w:rPr>
                <w:b/>
                <w:color w:val="000000" w:themeColor="text1"/>
              </w:rPr>
            </w:pPr>
            <w:r w:rsidRPr="00781112">
              <w:rPr>
                <w:rFonts w:cs="Arial"/>
                <w:b/>
                <w:color w:val="000000" w:themeColor="text1"/>
                <w:szCs w:val="16"/>
              </w:rPr>
              <w:t>2024</w:t>
            </w:r>
          </w:p>
        </w:tc>
        <w:tc>
          <w:tcPr>
            <w:tcW w:w="957" w:type="pct"/>
          </w:tcPr>
          <w:p w14:paraId="461B0F01" w14:textId="46CF4F16" w:rsidR="00B14519" w:rsidRPr="00781112" w:rsidRDefault="00B14519" w:rsidP="00D62058">
            <w:pPr>
              <w:jc w:val="center"/>
              <w:rPr>
                <w:b/>
                <w:color w:val="000000" w:themeColor="text1"/>
              </w:rPr>
            </w:pPr>
            <w:r w:rsidRPr="00781112">
              <w:rPr>
                <w:rFonts w:cs="Arial"/>
                <w:b/>
                <w:color w:val="000000" w:themeColor="text1"/>
                <w:szCs w:val="16"/>
              </w:rPr>
              <w:t>2025</w:t>
            </w:r>
          </w:p>
        </w:tc>
      </w:tr>
      <w:tr w:rsidR="00B14519" w:rsidRPr="00781112" w14:paraId="090BA5B6" w14:textId="14D1700A" w:rsidTr="00451D7E">
        <w:trPr>
          <w:trHeight w:val="332"/>
        </w:trPr>
        <w:tc>
          <w:tcPr>
            <w:tcW w:w="272" w:type="pct"/>
            <w:shd w:val="clear" w:color="auto" w:fill="auto"/>
            <w:vAlign w:val="center"/>
          </w:tcPr>
          <w:p w14:paraId="47EE91AE" w14:textId="1203380B" w:rsidR="00B14519" w:rsidRPr="00781112" w:rsidRDefault="00B14519" w:rsidP="00D62058">
            <w:pPr>
              <w:rPr>
                <w:rFonts w:cs="Arial"/>
                <w:color w:val="000000" w:themeColor="text1"/>
                <w:szCs w:val="16"/>
              </w:rPr>
            </w:pPr>
            <w:r w:rsidRPr="00781112">
              <w:rPr>
                <w:rFonts w:cs="Arial"/>
                <w:color w:val="000000" w:themeColor="text1"/>
                <w:szCs w:val="16"/>
              </w:rPr>
              <w:t xml:space="preserve">Target </w:t>
            </w:r>
          </w:p>
        </w:tc>
        <w:tc>
          <w:tcPr>
            <w:tcW w:w="898" w:type="pct"/>
            <w:shd w:val="clear" w:color="auto" w:fill="auto"/>
            <w:vAlign w:val="center"/>
          </w:tcPr>
          <w:p w14:paraId="26579D0D" w14:textId="55868DD1" w:rsidR="00B14519" w:rsidRPr="00781112" w:rsidRDefault="00B14519" w:rsidP="00D62058">
            <w:pPr>
              <w:jc w:val="center"/>
              <w:rPr>
                <w:rFonts w:cs="Arial"/>
                <w:color w:val="000000" w:themeColor="text1"/>
                <w:szCs w:val="16"/>
              </w:rPr>
            </w:pPr>
            <w:r w:rsidRPr="00781112">
              <w:rPr>
                <w:rFonts w:cs="Arial"/>
                <w:color w:val="000000" w:themeColor="text1"/>
                <w:szCs w:val="16"/>
              </w:rPr>
              <w:t>0%</w:t>
            </w:r>
          </w:p>
        </w:tc>
        <w:tc>
          <w:tcPr>
            <w:tcW w:w="957" w:type="pct"/>
          </w:tcPr>
          <w:p w14:paraId="41C3DA31" w14:textId="175676CA" w:rsidR="00B14519" w:rsidRPr="00781112" w:rsidRDefault="00B14519" w:rsidP="00D62058">
            <w:pPr>
              <w:jc w:val="center"/>
              <w:rPr>
                <w:rFonts w:cs="Arial"/>
                <w:color w:val="000000" w:themeColor="text1"/>
                <w:szCs w:val="16"/>
              </w:rPr>
            </w:pPr>
            <w:r w:rsidRPr="00781112">
              <w:rPr>
                <w:color w:val="000000" w:themeColor="text1"/>
                <w:szCs w:val="16"/>
              </w:rPr>
              <w:t>0%</w:t>
            </w:r>
          </w:p>
        </w:tc>
        <w:tc>
          <w:tcPr>
            <w:tcW w:w="957" w:type="pct"/>
          </w:tcPr>
          <w:p w14:paraId="11966A3D" w14:textId="65AB7EFF" w:rsidR="00B14519" w:rsidRPr="00781112" w:rsidRDefault="00B14519" w:rsidP="00D62058">
            <w:pPr>
              <w:jc w:val="center"/>
              <w:rPr>
                <w:rFonts w:cs="Arial"/>
                <w:color w:val="000000" w:themeColor="text1"/>
                <w:szCs w:val="16"/>
              </w:rPr>
            </w:pPr>
            <w:r w:rsidRPr="00781112">
              <w:rPr>
                <w:color w:val="000000" w:themeColor="text1"/>
                <w:szCs w:val="16"/>
              </w:rPr>
              <w:t>0%</w:t>
            </w:r>
          </w:p>
        </w:tc>
        <w:tc>
          <w:tcPr>
            <w:tcW w:w="957" w:type="pct"/>
          </w:tcPr>
          <w:p w14:paraId="527650DE" w14:textId="33C5B6E9" w:rsidR="00B14519" w:rsidRPr="00781112" w:rsidRDefault="00B14519" w:rsidP="00D62058">
            <w:pPr>
              <w:jc w:val="center"/>
              <w:rPr>
                <w:rFonts w:cs="Arial"/>
                <w:color w:val="000000" w:themeColor="text1"/>
                <w:szCs w:val="16"/>
              </w:rPr>
            </w:pPr>
            <w:r w:rsidRPr="00781112">
              <w:rPr>
                <w:color w:val="000000" w:themeColor="text1"/>
                <w:szCs w:val="16"/>
              </w:rPr>
              <w:t>0%</w:t>
            </w:r>
          </w:p>
        </w:tc>
        <w:tc>
          <w:tcPr>
            <w:tcW w:w="957" w:type="pct"/>
          </w:tcPr>
          <w:p w14:paraId="20094305" w14:textId="5B15EE13" w:rsidR="00B14519" w:rsidRPr="00781112" w:rsidRDefault="00B14519" w:rsidP="00D62058">
            <w:pPr>
              <w:jc w:val="center"/>
              <w:rPr>
                <w:rFonts w:cs="Arial"/>
                <w:color w:val="000000" w:themeColor="text1"/>
                <w:szCs w:val="16"/>
              </w:rPr>
            </w:pPr>
            <w:r w:rsidRPr="00781112">
              <w:rPr>
                <w:color w:val="000000" w:themeColor="text1"/>
                <w:szCs w:val="16"/>
              </w:rPr>
              <w:t>0%</w:t>
            </w:r>
          </w:p>
        </w:tc>
      </w:tr>
    </w:tbl>
    <w:p w14:paraId="728AD721" w14:textId="77777777" w:rsidR="00C15355" w:rsidRPr="00781112" w:rsidRDefault="00C15355" w:rsidP="004369B2">
      <w:pPr>
        <w:rPr>
          <w:color w:val="000000" w:themeColor="text1"/>
        </w:rPr>
      </w:pPr>
    </w:p>
    <w:bookmarkEnd w:id="29"/>
    <w:bookmarkEnd w:id="30"/>
    <w:p w14:paraId="6C217ADA" w14:textId="5B6EDDF4" w:rsidR="00D03701" w:rsidRPr="00781112" w:rsidRDefault="0047313F">
      <w:pPr>
        <w:rPr>
          <w:b/>
          <w:color w:val="000000" w:themeColor="text1"/>
        </w:rPr>
      </w:pPr>
      <w:r>
        <w:rPr>
          <w:b/>
          <w:color w:val="000000" w:themeColor="text1"/>
        </w:rPr>
        <w:t>FFY 2021 SPP/APR Data</w:t>
      </w:r>
    </w:p>
    <w:p w14:paraId="51C79687" w14:textId="260CFDAD"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6FC8EF80" w14:textId="63ECC90F" w:rsidR="00F9524E" w:rsidRPr="00781112" w:rsidRDefault="00F9524E">
      <w:pPr>
        <w:rPr>
          <w:rFonts w:cs="Arial"/>
          <w:color w:val="000000" w:themeColor="text1"/>
          <w:szCs w:val="16"/>
        </w:rPr>
      </w:pPr>
      <w:r w:rsidRPr="00781112">
        <w:rPr>
          <w:rFonts w:cs="Arial"/>
          <w:color w:val="000000" w:themeColor="text1"/>
          <w:szCs w:val="16"/>
        </w:rPr>
        <w:t>YES</w:t>
      </w:r>
    </w:p>
    <w:p w14:paraId="69A72720" w14:textId="20C4A4A0" w:rsidR="00F9524E" w:rsidRPr="00781112" w:rsidRDefault="00F9524E">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the State-established n/cell size. Report the number of LEAs excluded from the calculation as a result of the requirement.</w:t>
      </w:r>
    </w:p>
    <w:p w14:paraId="4A920DA7" w14:textId="169D365F" w:rsidR="00F9524E" w:rsidRPr="00781112" w:rsidRDefault="00F9524E" w:rsidP="004369B2">
      <w:pPr>
        <w:rPr>
          <w:rFonts w:cs="Arial"/>
          <w:color w:val="000000" w:themeColor="text1"/>
          <w:szCs w:val="16"/>
        </w:rPr>
      </w:pPr>
      <w:r w:rsidRPr="00781112">
        <w:rPr>
          <w:rFonts w:cs="Arial"/>
          <w:color w:val="000000" w:themeColor="text1"/>
          <w:szCs w:val="16"/>
        </w:rPr>
        <w:t>542</w:t>
      </w:r>
    </w:p>
    <w:p w14:paraId="4C0AC734"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7"/>
        <w:gridCol w:w="1152"/>
        <w:gridCol w:w="1675"/>
        <w:gridCol w:w="1047"/>
        <w:gridCol w:w="1299"/>
        <w:gridCol w:w="1260"/>
      </w:tblGrid>
      <w:tr w:rsidR="00740CBC" w:rsidRPr="00781112" w14:paraId="38B0A91A" w14:textId="77777777" w:rsidTr="00EC0EDB">
        <w:trPr>
          <w:trHeight w:val="994"/>
          <w:jc w:val="center"/>
        </w:trPr>
        <w:tc>
          <w:tcPr>
            <w:tcW w:w="615" w:type="pct"/>
            <w:shd w:val="clear" w:color="auto" w:fill="auto"/>
            <w:vAlign w:val="bottom"/>
          </w:tcPr>
          <w:p w14:paraId="7B29D1BD" w14:textId="32EC5502"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shd w:val="clear" w:color="auto" w:fill="auto"/>
            <w:vAlign w:val="bottom"/>
          </w:tcPr>
          <w:p w14:paraId="5F8F5A3F" w14:textId="0F9AAB60"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shd w:val="clear" w:color="auto" w:fill="auto"/>
            <w:vAlign w:val="bottom"/>
          </w:tcPr>
          <w:p w14:paraId="198605CB" w14:textId="35586744"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met the State's minimum n/cell size</w:t>
            </w:r>
          </w:p>
        </w:tc>
        <w:tc>
          <w:tcPr>
            <w:tcW w:w="534" w:type="pct"/>
            <w:shd w:val="clear" w:color="auto" w:fill="auto"/>
            <w:vAlign w:val="bottom"/>
          </w:tcPr>
          <w:p w14:paraId="45990D98" w14:textId="4745ADEF" w:rsidR="00740CBC" w:rsidRPr="00CC1061" w:rsidRDefault="00740CBC" w:rsidP="00740CBC">
            <w:pPr>
              <w:jc w:val="center"/>
              <w:rPr>
                <w:rFonts w:cs="Arial"/>
                <w:b/>
                <w:bCs/>
                <w:color w:val="000000" w:themeColor="text1"/>
                <w:szCs w:val="16"/>
              </w:rPr>
            </w:pPr>
            <w:r w:rsidRPr="00CC1061">
              <w:rPr>
                <w:b/>
                <w:bCs/>
              </w:rPr>
              <w:t>FFY 2020 Data</w:t>
            </w:r>
          </w:p>
        </w:tc>
        <w:tc>
          <w:tcPr>
            <w:tcW w:w="776" w:type="pct"/>
            <w:shd w:val="clear" w:color="auto" w:fill="auto"/>
            <w:vAlign w:val="bottom"/>
          </w:tcPr>
          <w:p w14:paraId="1BAB59B0" w14:textId="572E90ED" w:rsidR="00740CBC" w:rsidRPr="00CC1061" w:rsidRDefault="00740CBC" w:rsidP="00740CBC">
            <w:pPr>
              <w:jc w:val="center"/>
              <w:rPr>
                <w:rFonts w:cs="Arial"/>
                <w:b/>
                <w:bCs/>
                <w:color w:val="000000" w:themeColor="text1"/>
                <w:szCs w:val="16"/>
              </w:rPr>
            </w:pPr>
            <w:r w:rsidRPr="00CC1061">
              <w:rPr>
                <w:b/>
                <w:bCs/>
              </w:rPr>
              <w:t>FFY 2021 Target</w:t>
            </w:r>
          </w:p>
        </w:tc>
        <w:tc>
          <w:tcPr>
            <w:tcW w:w="485" w:type="pct"/>
            <w:shd w:val="clear" w:color="auto" w:fill="auto"/>
            <w:vAlign w:val="bottom"/>
          </w:tcPr>
          <w:p w14:paraId="179C63C5" w14:textId="307AAB8A" w:rsidR="00740CBC" w:rsidRPr="00CC1061" w:rsidRDefault="00740CBC" w:rsidP="00740CBC">
            <w:pPr>
              <w:jc w:val="center"/>
              <w:rPr>
                <w:rFonts w:cs="Arial"/>
                <w:b/>
                <w:bCs/>
                <w:color w:val="000000" w:themeColor="text1"/>
                <w:szCs w:val="16"/>
              </w:rPr>
            </w:pPr>
            <w:r w:rsidRPr="00CC1061">
              <w:rPr>
                <w:b/>
                <w:bCs/>
              </w:rPr>
              <w:t>FFY 2021 Data</w:t>
            </w:r>
          </w:p>
        </w:tc>
        <w:tc>
          <w:tcPr>
            <w:tcW w:w="602" w:type="pct"/>
            <w:shd w:val="clear" w:color="auto" w:fill="auto"/>
            <w:vAlign w:val="bottom"/>
          </w:tcPr>
          <w:p w14:paraId="65AC443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Status</w:t>
            </w:r>
          </w:p>
        </w:tc>
        <w:tc>
          <w:tcPr>
            <w:tcW w:w="584" w:type="pct"/>
            <w:shd w:val="clear" w:color="auto" w:fill="auto"/>
            <w:vAlign w:val="bottom"/>
          </w:tcPr>
          <w:p w14:paraId="1CC124E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Slippage</w:t>
            </w:r>
          </w:p>
        </w:tc>
      </w:tr>
      <w:tr w:rsidR="005C29F8" w:rsidRPr="00781112" w14:paraId="204CDE51" w14:textId="77777777" w:rsidTr="00EC0EDB">
        <w:trPr>
          <w:trHeight w:val="233"/>
          <w:jc w:val="center"/>
        </w:trPr>
        <w:tc>
          <w:tcPr>
            <w:tcW w:w="615" w:type="pct"/>
            <w:shd w:val="clear" w:color="auto" w:fill="auto"/>
          </w:tcPr>
          <w:p w14:paraId="1BBB876A" w14:textId="743343A5" w:rsidR="00DE45AB" w:rsidRPr="00781112" w:rsidRDefault="002B7490" w:rsidP="00A018D4">
            <w:pPr>
              <w:jc w:val="center"/>
              <w:rPr>
                <w:rFonts w:cs="Arial"/>
                <w:color w:val="000000" w:themeColor="text1"/>
                <w:szCs w:val="16"/>
              </w:rPr>
            </w:pPr>
            <w:r w:rsidRPr="00781112">
              <w:rPr>
                <w:rFonts w:cs="Arial"/>
                <w:color w:val="000000" w:themeColor="text1"/>
                <w:szCs w:val="16"/>
              </w:rPr>
              <w:t>1</w:t>
            </w:r>
          </w:p>
        </w:tc>
        <w:tc>
          <w:tcPr>
            <w:tcW w:w="589" w:type="pct"/>
            <w:shd w:val="clear" w:color="auto" w:fill="auto"/>
            <w:vAlign w:val="center"/>
          </w:tcPr>
          <w:p w14:paraId="6C540A5B" w14:textId="472541D0" w:rsidR="00DE45AB"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14" w:type="pct"/>
            <w:shd w:val="clear" w:color="auto" w:fill="auto"/>
          </w:tcPr>
          <w:p w14:paraId="6F1E42F0" w14:textId="4B631704" w:rsidR="00DE45AB" w:rsidRPr="00781112" w:rsidRDefault="002B7490" w:rsidP="00A018D4">
            <w:pPr>
              <w:jc w:val="center"/>
              <w:rPr>
                <w:rFonts w:cs="Arial"/>
                <w:color w:val="000000" w:themeColor="text1"/>
                <w:szCs w:val="16"/>
              </w:rPr>
            </w:pPr>
            <w:r w:rsidRPr="00781112">
              <w:rPr>
                <w:rFonts w:cs="Arial"/>
                <w:color w:val="000000" w:themeColor="text1"/>
                <w:szCs w:val="16"/>
              </w:rPr>
              <w:t>1</w:t>
            </w:r>
          </w:p>
        </w:tc>
        <w:tc>
          <w:tcPr>
            <w:tcW w:w="534" w:type="pct"/>
            <w:shd w:val="clear" w:color="auto" w:fill="auto"/>
          </w:tcPr>
          <w:p w14:paraId="76FAD105" w14:textId="6054175F"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776" w:type="pct"/>
            <w:shd w:val="clear" w:color="auto" w:fill="auto"/>
          </w:tcPr>
          <w:p w14:paraId="0F3192F2" w14:textId="289113AF"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shd w:val="clear" w:color="auto" w:fill="auto"/>
          </w:tcPr>
          <w:p w14:paraId="7BDF1791" w14:textId="2192A561"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02" w:type="pct"/>
            <w:shd w:val="clear" w:color="auto" w:fill="auto"/>
          </w:tcPr>
          <w:p w14:paraId="389804B8" w14:textId="23C75A7D" w:rsidR="00DE45AB"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84" w:type="pct"/>
            <w:shd w:val="clear" w:color="auto" w:fill="auto"/>
          </w:tcPr>
          <w:p w14:paraId="3AF9E82D" w14:textId="6AA616AB" w:rsidR="00DE45AB"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0DD3F41" w14:textId="31F46ACB"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F24C674" w14:textId="1B9869B3" w:rsidR="00F9524E" w:rsidRPr="00781112" w:rsidRDefault="00F9524E" w:rsidP="000E33D0">
      <w:pPr>
        <w:rPr>
          <w:rFonts w:cs="Arial"/>
          <w:color w:val="000000" w:themeColor="text1"/>
          <w:szCs w:val="16"/>
        </w:rPr>
      </w:pPr>
      <w:r w:rsidRPr="00781112">
        <w:rPr>
          <w:rFonts w:cs="Arial"/>
          <w:color w:val="000000" w:themeColor="text1"/>
          <w:szCs w:val="16"/>
        </w:rPr>
        <w:t>YES</w:t>
      </w:r>
    </w:p>
    <w:p w14:paraId="6DB014CF" w14:textId="6C5A068F" w:rsidR="001F6A28" w:rsidRPr="00781112" w:rsidRDefault="001F6A28" w:rsidP="009A755E">
      <w:pPr>
        <w:rPr>
          <w:rFonts w:cs="Arial"/>
          <w:b/>
          <w:color w:val="000000" w:themeColor="text1"/>
          <w:szCs w:val="16"/>
        </w:rPr>
      </w:pPr>
      <w:bookmarkStart w:id="31" w:name="_Toc392159294"/>
      <w:r w:rsidRPr="00781112">
        <w:rPr>
          <w:rFonts w:cs="Arial"/>
          <w:b/>
          <w:color w:val="000000" w:themeColor="text1"/>
          <w:szCs w:val="16"/>
        </w:rPr>
        <w:t>State’s definition of “significant discrepancy” and methodology</w:t>
      </w:r>
    </w:p>
    <w:p w14:paraId="68DA7D27" w14:textId="3FCFF894" w:rsidR="002D57DA" w:rsidRPr="00781112" w:rsidRDefault="002B7490" w:rsidP="009C613A">
      <w:pPr>
        <w:rPr>
          <w:rFonts w:cs="Arial"/>
          <w:b/>
          <w:color w:val="000000" w:themeColor="text1"/>
          <w:szCs w:val="16"/>
        </w:rPr>
      </w:pPr>
      <w:r w:rsidRPr="00781112">
        <w:rPr>
          <w:rFonts w:cs="Arial"/>
          <w:color w:val="000000" w:themeColor="text1"/>
          <w:szCs w:val="16"/>
        </w:rPr>
        <w:t>The OSDE-SES, with stakeholder input from its IDEA Part B Advisory Panel, has defined “significant discrepancy” as a risk ratio of suspension or expulsion of 2.5 or greater for students with disabilities in each racial/ethnic category in a LEA compared to students with disabilities among LEAs in the State in the same category. The state uses the same threshold for all racial ethnic groups to determine significant discrepancy. The OSDE has chosen the following comparison method (one of the methods recommended by the OSEP): The rates of expulsions and suspensions out-of-school that total more than 10 days in a school year for children with IEPs among LEAs in the State in each racial/ethnic category (34 CFR §300.170(a)). Oklahoma used only students with IEPs to calculate significant discrepancy.</w:t>
      </w:r>
      <w:r w:rsidRPr="00781112">
        <w:rPr>
          <w:rFonts w:cs="Arial"/>
          <w:color w:val="000000" w:themeColor="text1"/>
          <w:szCs w:val="16"/>
        </w:rPr>
        <w:br/>
      </w:r>
      <w:r w:rsidRPr="00781112">
        <w:rPr>
          <w:rFonts w:cs="Arial"/>
          <w:color w:val="000000" w:themeColor="text1"/>
          <w:szCs w:val="16"/>
        </w:rPr>
        <w:br/>
        <w:t xml:space="preserve">To be included in the analysis, a racial/ethnic group must have at least 10 students with disabilities who were suspended or expelled for more than 10 days by the LEA and at least 10 students with disabilities enrolled in that racial/ethnic category. If the district had at least 10 students with disabilities who were suspended or expelled for more than 10 days in all other racial/ethnic categories, this was used as the comparison group. 542 LEAs were excluded from the analysis because of their n-size at the subcategory level. This is an increase when Oklahoma 532 LEAs in the previous year. </w:t>
      </w:r>
      <w:r w:rsidRPr="00781112">
        <w:rPr>
          <w:rFonts w:cs="Arial"/>
          <w:color w:val="000000" w:themeColor="text1"/>
          <w:szCs w:val="16"/>
        </w:rPr>
        <w:br/>
      </w:r>
      <w:r w:rsidRPr="00781112">
        <w:rPr>
          <w:rFonts w:cs="Arial"/>
          <w:color w:val="000000" w:themeColor="text1"/>
          <w:szCs w:val="16"/>
        </w:rPr>
        <w:br/>
        <w:t>Any findings of significant discrepancy will generate an analysis of policies, procedures, and practices by SEA personnel. LEAs are also required to conduct this review (consistent with CFR § 300.170(b)). If appropriate, the LEAs will revise policies, practices, and procedures relating to each of the following topics: development and implementation of IEPs, the use of positive behavioral interventions and supports, and procedural safeguards to comply with the requirements of the IDEA.</w:t>
      </w:r>
    </w:p>
    <w:p w14:paraId="3EC3FBFA"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35896747" w14:textId="5B1C78C3" w:rsidR="002D57DA" w:rsidRPr="00781112" w:rsidRDefault="002B7490" w:rsidP="000E33D0">
      <w:pPr>
        <w:rPr>
          <w:rFonts w:cs="Arial"/>
          <w:color w:val="000000" w:themeColor="text1"/>
          <w:szCs w:val="16"/>
        </w:rPr>
      </w:pPr>
      <w:r w:rsidRPr="00781112">
        <w:rPr>
          <w:rFonts w:cs="Arial"/>
          <w:color w:val="000000" w:themeColor="text1"/>
          <w:szCs w:val="16"/>
        </w:rPr>
        <w:t xml:space="preserve">The data for indicator 4 reflect school year 20-21, and were substantially affected by the pandemic. LEAs used suspensions significantly less frequently than in prior years, and the number of suspensions dropped substantially. As a result, fewer LEAs met the minimum cell and n-count than in prior years. Thus, while the number of LEAs that were discrepant also decreased, the overall percentage of discrepant LEAs increased because the denominator was smaller. </w:t>
      </w:r>
      <w:r w:rsidRPr="00781112">
        <w:rPr>
          <w:rFonts w:cs="Arial"/>
          <w:color w:val="000000" w:themeColor="text1"/>
          <w:szCs w:val="16"/>
        </w:rPr>
        <w:br/>
      </w:r>
      <w:r w:rsidRPr="00781112">
        <w:rPr>
          <w:rFonts w:cs="Arial"/>
          <w:color w:val="000000" w:themeColor="text1"/>
          <w:szCs w:val="16"/>
        </w:rPr>
        <w:br/>
        <w:t>The number of districts using suspensions with students with disabilities increased dramatically in SY 21-22, with many more meeting the minimum reporting requirements.</w:t>
      </w:r>
    </w:p>
    <w:p w14:paraId="4B905245" w14:textId="77777777" w:rsidR="005E2440" w:rsidRPr="00781112" w:rsidRDefault="005E2440" w:rsidP="004369B2">
      <w:pPr>
        <w:rPr>
          <w:color w:val="000000" w:themeColor="text1"/>
        </w:rPr>
      </w:pPr>
    </w:p>
    <w:p w14:paraId="248087F7" w14:textId="6D13A5FF" w:rsidR="001F6A28" w:rsidRPr="00781112" w:rsidRDefault="001F6A28" w:rsidP="004369B2">
      <w:pPr>
        <w:rPr>
          <w:color w:val="000000" w:themeColor="text1"/>
        </w:rPr>
      </w:pPr>
      <w:r w:rsidRPr="00781112">
        <w:rPr>
          <w:b/>
          <w:color w:val="000000" w:themeColor="text1"/>
        </w:rPr>
        <w:t>Review of Policies, Procedures, and Practices (completed in FFY 2021 using 2020-2021 data)</w:t>
      </w:r>
    </w:p>
    <w:p w14:paraId="71ECDBC1" w14:textId="77777777" w:rsidR="001F6A28" w:rsidRPr="00781112" w:rsidRDefault="001F6A28" w:rsidP="009A755E">
      <w:pPr>
        <w:rPr>
          <w:rFonts w:cs="Arial"/>
          <w:b/>
          <w:color w:val="000000" w:themeColor="text1"/>
          <w:szCs w:val="16"/>
        </w:rPr>
      </w:pPr>
      <w:r w:rsidRPr="00781112">
        <w:rPr>
          <w:rFonts w:cs="Arial"/>
          <w:b/>
          <w:color w:val="000000" w:themeColor="text1"/>
          <w:szCs w:val="16"/>
        </w:rPr>
        <w:lastRenderedPageBreak/>
        <w:t>Provide a description of the review of policies, procedures, and practices relating to the development and implementation of IEPs, the use of positive behavioral interventions and supports, and procedural safeguards.</w:t>
      </w:r>
    </w:p>
    <w:p w14:paraId="7C9E83E6" w14:textId="40DED240" w:rsidR="00616510" w:rsidRPr="00781112" w:rsidRDefault="002B7490" w:rsidP="009C613A">
      <w:pPr>
        <w:rPr>
          <w:rFonts w:cs="Arial"/>
          <w:color w:val="000000" w:themeColor="text1"/>
          <w:szCs w:val="16"/>
        </w:rPr>
      </w:pPr>
      <w:r w:rsidRPr="00781112">
        <w:rPr>
          <w:rFonts w:cs="Arial"/>
          <w:color w:val="000000" w:themeColor="text1"/>
          <w:szCs w:val="16"/>
        </w:rPr>
        <w:t>Annually, districts are required to upload their policies, practices and procedures related to special education identification in their LEA Assurances and Agreement. Districts are notified of any discrepancies when they receive their annual District Data Profile. Those identified as being discrepant in discipline in one or more racial and ethnic groups are subject to an in-depth review of their policies, procedures, and practices with attention to the development and implementation of IEPs, the use of PBIS practices, and procedural safeguards. These reviews are conducted by experienced and knowledgeable SEA personnel. A review of policies, procedures, and practices occurs during all general supervision and monitoring activities, also.</w:t>
      </w:r>
      <w:r w:rsidRPr="00781112">
        <w:rPr>
          <w:rFonts w:cs="Arial"/>
          <w:color w:val="000000" w:themeColor="text1"/>
          <w:szCs w:val="16"/>
        </w:rPr>
        <w:br/>
      </w:r>
      <w:r w:rsidRPr="00781112">
        <w:rPr>
          <w:rFonts w:cs="Arial"/>
          <w:color w:val="000000" w:themeColor="text1"/>
          <w:szCs w:val="16"/>
        </w:rPr>
        <w:br/>
        <w:t xml:space="preserve">In 2020-2021, one LEA was found to have significant discrepancy in discipline rates by race and/or ethnicity. The LEA was notified of its discrepancy in October 2021 on its District Data Profile. At that time, SEA personnel conducted a detailed review of the policies, practices and procedures of the LEA and determined that it did not demonstrate noncompliance. </w:t>
      </w:r>
    </w:p>
    <w:p w14:paraId="3F34C37B" w14:textId="77777777" w:rsidR="00616510" w:rsidRPr="00781112" w:rsidRDefault="00616510" w:rsidP="009C613A">
      <w:pPr>
        <w:rPr>
          <w:rFonts w:cs="Arial"/>
          <w:color w:val="000000" w:themeColor="text1"/>
          <w:szCs w:val="16"/>
        </w:rPr>
      </w:pPr>
    </w:p>
    <w:p w14:paraId="23CDB3C2" w14:textId="04EDADC3" w:rsidR="00616510" w:rsidRPr="00781112" w:rsidRDefault="00616510" w:rsidP="009C613A">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3A779219" w14:textId="77777777" w:rsidR="00F9524E" w:rsidRPr="00781112" w:rsidRDefault="00F9524E">
      <w:pPr>
        <w:rPr>
          <w:b/>
          <w:color w:val="000000" w:themeColor="text1"/>
        </w:rPr>
      </w:pPr>
    </w:p>
    <w:p w14:paraId="54A274E0" w14:textId="53BC1AE0" w:rsidR="009A755E" w:rsidRPr="00781112" w:rsidRDefault="00450F98" w:rsidP="004369B2">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114A5055" w14:textId="77777777" w:rsidTr="00C570AA">
        <w:trPr>
          <w:trHeight w:val="389"/>
          <w:tblHeader/>
        </w:trPr>
        <w:tc>
          <w:tcPr>
            <w:tcW w:w="1211" w:type="pct"/>
            <w:shd w:val="clear" w:color="auto" w:fill="auto"/>
            <w:vAlign w:val="bottom"/>
          </w:tcPr>
          <w:p w14:paraId="776A9C2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4FF64C47"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36D9293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440F12A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6AB2FBF" w14:textId="77777777" w:rsidTr="00C570AA">
        <w:tc>
          <w:tcPr>
            <w:tcW w:w="1211" w:type="pct"/>
            <w:shd w:val="clear" w:color="auto" w:fill="auto"/>
          </w:tcPr>
          <w:p w14:paraId="6AF875F0" w14:textId="0FD8621B"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58D166B5" w14:textId="6ADFFC1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745E0498" w14:textId="77F90D3F"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5E32910" w14:textId="7F6FD66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CFB1826" w14:textId="3C5B9BCB" w:rsidR="009A755E" w:rsidRPr="00781112" w:rsidRDefault="00450F98" w:rsidP="004369B2">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04BPPFFYNCFINDINGS"/>
      </w:tblPr>
      <w:tblGrid>
        <w:gridCol w:w="1995"/>
        <w:gridCol w:w="2998"/>
        <w:gridCol w:w="2989"/>
        <w:gridCol w:w="2808"/>
      </w:tblGrid>
      <w:tr w:rsidR="005C29F8" w:rsidRPr="00781112" w14:paraId="00324CEE" w14:textId="77777777" w:rsidTr="00C570AA">
        <w:trPr>
          <w:tblHeader/>
        </w:trPr>
        <w:tc>
          <w:tcPr>
            <w:tcW w:w="924" w:type="pct"/>
            <w:shd w:val="clear" w:color="auto" w:fill="auto"/>
            <w:vAlign w:val="bottom"/>
          </w:tcPr>
          <w:p w14:paraId="77DA67D5" w14:textId="149F9136"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shd w:val="clear" w:color="auto" w:fill="auto"/>
            <w:vAlign w:val="bottom"/>
          </w:tcPr>
          <w:p w14:paraId="10CE444D" w14:textId="11834403"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385" w:type="pct"/>
            <w:shd w:val="clear" w:color="auto" w:fill="auto"/>
            <w:vAlign w:val="bottom"/>
          </w:tcPr>
          <w:p w14:paraId="541F03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shd w:val="clear" w:color="auto" w:fill="auto"/>
            <w:vAlign w:val="bottom"/>
          </w:tcPr>
          <w:p w14:paraId="44D37B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FE0165" w14:textId="77777777" w:rsidTr="00C570AA">
        <w:tc>
          <w:tcPr>
            <w:tcW w:w="924" w:type="pct"/>
            <w:shd w:val="clear" w:color="auto" w:fill="auto"/>
          </w:tcPr>
          <w:p w14:paraId="24BDFB83" w14:textId="477472C3" w:rsidR="009A755E" w:rsidRPr="00781112" w:rsidRDefault="009A755E" w:rsidP="00A018D4">
            <w:pPr>
              <w:jc w:val="center"/>
              <w:rPr>
                <w:rFonts w:cs="Arial"/>
                <w:color w:val="000000" w:themeColor="text1"/>
                <w:szCs w:val="16"/>
              </w:rPr>
            </w:pPr>
          </w:p>
        </w:tc>
        <w:tc>
          <w:tcPr>
            <w:tcW w:w="1389" w:type="pct"/>
            <w:shd w:val="clear" w:color="auto" w:fill="auto"/>
          </w:tcPr>
          <w:p w14:paraId="27669B26" w14:textId="57CAFD92" w:rsidR="009A755E" w:rsidRPr="00781112" w:rsidRDefault="009A755E">
            <w:pPr>
              <w:jc w:val="center"/>
              <w:rPr>
                <w:rFonts w:cs="Arial"/>
                <w:noProof/>
                <w:color w:val="000000" w:themeColor="text1"/>
                <w:szCs w:val="16"/>
              </w:rPr>
            </w:pPr>
          </w:p>
        </w:tc>
        <w:tc>
          <w:tcPr>
            <w:tcW w:w="1385" w:type="pct"/>
            <w:shd w:val="clear" w:color="auto" w:fill="auto"/>
          </w:tcPr>
          <w:p w14:paraId="265AB867" w14:textId="6DD4A6E4" w:rsidR="009A755E" w:rsidRPr="00781112" w:rsidRDefault="009A755E">
            <w:pPr>
              <w:jc w:val="center"/>
              <w:rPr>
                <w:rFonts w:cs="Arial"/>
                <w:noProof/>
                <w:color w:val="000000" w:themeColor="text1"/>
                <w:szCs w:val="16"/>
              </w:rPr>
            </w:pPr>
          </w:p>
        </w:tc>
        <w:tc>
          <w:tcPr>
            <w:tcW w:w="1301" w:type="pct"/>
            <w:shd w:val="clear" w:color="auto" w:fill="auto"/>
          </w:tcPr>
          <w:p w14:paraId="016118B8" w14:textId="60E0958F" w:rsidR="009A755E" w:rsidRPr="00781112" w:rsidRDefault="009A755E">
            <w:pPr>
              <w:jc w:val="center"/>
              <w:rPr>
                <w:rFonts w:cs="Arial"/>
                <w:noProof/>
                <w:color w:val="000000" w:themeColor="text1"/>
                <w:szCs w:val="16"/>
              </w:rPr>
            </w:pPr>
          </w:p>
        </w:tc>
      </w:tr>
      <w:tr w:rsidR="005C29F8" w:rsidRPr="00781112" w14:paraId="06C2E448" w14:textId="77777777" w:rsidTr="00C570AA">
        <w:tc>
          <w:tcPr>
            <w:tcW w:w="924" w:type="pct"/>
            <w:shd w:val="clear" w:color="auto" w:fill="auto"/>
          </w:tcPr>
          <w:p w14:paraId="1F883C29" w14:textId="16901E48" w:rsidR="009A755E" w:rsidRPr="00781112" w:rsidRDefault="009A755E" w:rsidP="00A018D4">
            <w:pPr>
              <w:jc w:val="center"/>
              <w:rPr>
                <w:rFonts w:cs="Arial"/>
                <w:color w:val="000000" w:themeColor="text1"/>
                <w:szCs w:val="16"/>
              </w:rPr>
            </w:pPr>
          </w:p>
        </w:tc>
        <w:tc>
          <w:tcPr>
            <w:tcW w:w="1389" w:type="pct"/>
            <w:shd w:val="clear" w:color="auto" w:fill="auto"/>
          </w:tcPr>
          <w:p w14:paraId="4878C645" w14:textId="6B8E2DD3" w:rsidR="009A755E" w:rsidRPr="00781112" w:rsidRDefault="009A755E">
            <w:pPr>
              <w:jc w:val="center"/>
              <w:rPr>
                <w:rFonts w:cs="Arial"/>
                <w:noProof/>
                <w:color w:val="000000" w:themeColor="text1"/>
                <w:szCs w:val="16"/>
              </w:rPr>
            </w:pPr>
          </w:p>
        </w:tc>
        <w:tc>
          <w:tcPr>
            <w:tcW w:w="1385" w:type="pct"/>
            <w:shd w:val="clear" w:color="auto" w:fill="auto"/>
          </w:tcPr>
          <w:p w14:paraId="5C5B29A8" w14:textId="4F847347" w:rsidR="009A755E" w:rsidRPr="00781112" w:rsidRDefault="009A755E">
            <w:pPr>
              <w:jc w:val="center"/>
              <w:rPr>
                <w:rFonts w:cs="Arial"/>
                <w:noProof/>
                <w:color w:val="000000" w:themeColor="text1"/>
                <w:szCs w:val="16"/>
              </w:rPr>
            </w:pPr>
          </w:p>
        </w:tc>
        <w:tc>
          <w:tcPr>
            <w:tcW w:w="1301" w:type="pct"/>
            <w:shd w:val="clear" w:color="auto" w:fill="auto"/>
          </w:tcPr>
          <w:p w14:paraId="3059F96F" w14:textId="54D2C196" w:rsidR="009A755E" w:rsidRPr="00781112" w:rsidRDefault="009A755E">
            <w:pPr>
              <w:jc w:val="center"/>
              <w:rPr>
                <w:rFonts w:cs="Arial"/>
                <w:noProof/>
                <w:color w:val="000000" w:themeColor="text1"/>
                <w:szCs w:val="16"/>
              </w:rPr>
            </w:pPr>
          </w:p>
        </w:tc>
      </w:tr>
      <w:tr w:rsidR="005C29F8" w:rsidRPr="00781112" w14:paraId="270D86DF" w14:textId="77777777" w:rsidTr="00C570AA">
        <w:tc>
          <w:tcPr>
            <w:tcW w:w="924" w:type="pct"/>
            <w:shd w:val="clear" w:color="auto" w:fill="auto"/>
          </w:tcPr>
          <w:p w14:paraId="7DBC402C" w14:textId="659D0437" w:rsidR="009A755E" w:rsidRPr="00781112" w:rsidRDefault="009A755E" w:rsidP="00A018D4">
            <w:pPr>
              <w:jc w:val="center"/>
              <w:rPr>
                <w:rFonts w:cs="Arial"/>
                <w:color w:val="000000" w:themeColor="text1"/>
                <w:szCs w:val="16"/>
              </w:rPr>
            </w:pPr>
          </w:p>
        </w:tc>
        <w:tc>
          <w:tcPr>
            <w:tcW w:w="1389" w:type="pct"/>
            <w:shd w:val="clear" w:color="auto" w:fill="auto"/>
          </w:tcPr>
          <w:p w14:paraId="39F6C3A8" w14:textId="6AFAAA5E" w:rsidR="009A755E" w:rsidRPr="00781112" w:rsidRDefault="009A755E">
            <w:pPr>
              <w:jc w:val="center"/>
              <w:rPr>
                <w:rFonts w:cs="Arial"/>
                <w:noProof/>
                <w:color w:val="000000" w:themeColor="text1"/>
                <w:szCs w:val="16"/>
              </w:rPr>
            </w:pPr>
          </w:p>
        </w:tc>
        <w:tc>
          <w:tcPr>
            <w:tcW w:w="1385" w:type="pct"/>
            <w:shd w:val="clear" w:color="auto" w:fill="auto"/>
          </w:tcPr>
          <w:p w14:paraId="4ABCDE9F" w14:textId="61A85266" w:rsidR="009A755E" w:rsidRPr="00781112" w:rsidRDefault="009A755E">
            <w:pPr>
              <w:jc w:val="center"/>
              <w:rPr>
                <w:rFonts w:cs="Arial"/>
                <w:noProof/>
                <w:color w:val="000000" w:themeColor="text1"/>
                <w:szCs w:val="16"/>
              </w:rPr>
            </w:pPr>
          </w:p>
        </w:tc>
        <w:tc>
          <w:tcPr>
            <w:tcW w:w="1301" w:type="pct"/>
            <w:shd w:val="clear" w:color="auto" w:fill="auto"/>
          </w:tcPr>
          <w:p w14:paraId="4AB54464" w14:textId="0D8F01A9" w:rsidR="009A755E" w:rsidRPr="00781112" w:rsidRDefault="009A755E">
            <w:pPr>
              <w:jc w:val="center"/>
              <w:rPr>
                <w:rFonts w:cs="Arial"/>
                <w:noProof/>
                <w:color w:val="000000" w:themeColor="text1"/>
                <w:szCs w:val="16"/>
              </w:rPr>
            </w:pPr>
          </w:p>
        </w:tc>
      </w:tr>
    </w:tbl>
    <w:p w14:paraId="7BCEF85B" w14:textId="62F9E93D" w:rsidR="004E2151" w:rsidRPr="00781112" w:rsidRDefault="00D11730" w:rsidP="008645AD">
      <w:pPr>
        <w:pStyle w:val="Heading2"/>
      </w:pPr>
      <w:r w:rsidRPr="00781112">
        <w:t>4B</w:t>
      </w:r>
      <w:r w:rsidR="00E90DE9" w:rsidRPr="00781112">
        <w:t xml:space="preserve"> </w:t>
      </w:r>
      <w:r w:rsidRPr="00781112">
        <w:t xml:space="preserve">- </w:t>
      </w:r>
      <w:r w:rsidR="004E2151" w:rsidRPr="00781112">
        <w:t>Prior FFY Required Actions</w:t>
      </w:r>
    </w:p>
    <w:p w14:paraId="60DC97B4" w14:textId="67376465" w:rsidR="009B02BC" w:rsidRPr="00781112" w:rsidRDefault="002B7490" w:rsidP="004E2151">
      <w:pPr>
        <w:rPr>
          <w:rFonts w:cs="Arial"/>
          <w:color w:val="000000" w:themeColor="text1"/>
          <w:szCs w:val="16"/>
        </w:rPr>
      </w:pPr>
      <w:r w:rsidRPr="00781112">
        <w:rPr>
          <w:rFonts w:cs="Arial"/>
          <w:color w:val="000000" w:themeColor="text1"/>
          <w:szCs w:val="16"/>
        </w:rPr>
        <w:t>None</w:t>
      </w:r>
    </w:p>
    <w:p w14:paraId="7562BCA8" w14:textId="2875B1E9" w:rsidR="005115D6" w:rsidRPr="00781112" w:rsidRDefault="00D11730" w:rsidP="008645AD">
      <w:pPr>
        <w:pStyle w:val="Heading2"/>
      </w:pPr>
      <w:r w:rsidRPr="00781112">
        <w:t>4B - OSEP Response</w:t>
      </w:r>
    </w:p>
    <w:p w14:paraId="489BF62D" w14:textId="19458AE8" w:rsidR="003C308E" w:rsidRPr="00781112" w:rsidRDefault="002B7490" w:rsidP="00212954">
      <w:pPr>
        <w:rPr>
          <w:rFonts w:cs="Arial"/>
          <w:color w:val="000000" w:themeColor="text1"/>
          <w:szCs w:val="16"/>
        </w:rPr>
      </w:pPr>
      <w:r w:rsidRPr="00781112">
        <w:rPr>
          <w:rFonts w:cs="Arial"/>
          <w:color w:val="000000" w:themeColor="text1"/>
          <w:szCs w:val="16"/>
        </w:rPr>
        <w:t>The State did not provide valid and reliable data for this indicator for FFY 2021. The State reported, "The OSDE-SES, with stakeholder input from its IDEA Part B Advisory Panel, has defined “significant discrepancy” as a risk ratio of suspension or expulsion of 2.5 or greater for students with disabilities in each racial/ethnic category in a LEA compared to students with disabilities among LEAs in the State in the same category." OSEP reminds the State that its chosen methodology cannot result in different thresholds for different racial and ethnic groups to demonstrate whether an LEA has a significant discrepancy, by race or ethnicity, in the rates of suspensions and expulsions of greater than 10 days in a school year for children with IEPs. Therefore, OSEP could not determine whether the State met its target.</w:t>
      </w:r>
    </w:p>
    <w:p w14:paraId="4D6C35B1" w14:textId="16E26788" w:rsidR="005115D6" w:rsidRPr="00781112" w:rsidRDefault="00D11730" w:rsidP="008645AD">
      <w:pPr>
        <w:pStyle w:val="Heading2"/>
      </w:pPr>
      <w:r w:rsidRPr="00781112">
        <w:t>4B- Required Actions</w:t>
      </w:r>
    </w:p>
    <w:p w14:paraId="5DE261E4" w14:textId="20281C98" w:rsidR="003C308E" w:rsidRPr="00781112" w:rsidRDefault="002B7490" w:rsidP="00212954">
      <w:pPr>
        <w:rPr>
          <w:rFonts w:cs="Arial"/>
          <w:color w:val="000000" w:themeColor="text1"/>
          <w:szCs w:val="16"/>
        </w:rPr>
      </w:pPr>
      <w:r w:rsidRPr="00781112">
        <w:rPr>
          <w:rFonts w:cs="Arial"/>
          <w:color w:val="000000" w:themeColor="text1"/>
          <w:szCs w:val="16"/>
        </w:rPr>
        <w:t xml:space="preserve">The State did not provide valid and reliable data for FFY 2021. The State must provide valid and reliable data for FFY 2022 in the FFY 2022 SPP/APR using a methodology that does not result in different thresholds for different racial and ethnic groups. </w:t>
      </w:r>
    </w:p>
    <w:p w14:paraId="4C9312F8"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F968F36" w14:textId="267D7207" w:rsidR="00D21EAA" w:rsidRPr="00781112" w:rsidRDefault="00D21EAA" w:rsidP="000444E2">
      <w:pPr>
        <w:pStyle w:val="Heading1"/>
        <w:rPr>
          <w:color w:val="000000" w:themeColor="text1"/>
          <w:sz w:val="22"/>
        </w:rPr>
      </w:pPr>
      <w:r w:rsidRPr="00781112">
        <w:rPr>
          <w:color w:val="000000" w:themeColor="text1"/>
          <w:sz w:val="22"/>
        </w:rPr>
        <w:lastRenderedPageBreak/>
        <w:t xml:space="preserve">Indicator 5: </w:t>
      </w:r>
      <w:bookmarkEnd w:id="12"/>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19"/>
      <w:bookmarkEnd w:id="31"/>
    </w:p>
    <w:p w14:paraId="52AD89A1" w14:textId="77777777" w:rsidR="00775845" w:rsidRPr="00781112" w:rsidRDefault="00775845" w:rsidP="00A018D4">
      <w:pPr>
        <w:rPr>
          <w:color w:val="000000" w:themeColor="text1"/>
          <w:szCs w:val="20"/>
        </w:rPr>
      </w:pPr>
      <w:bookmarkStart w:id="32" w:name="_Toc392159295"/>
      <w:r w:rsidRPr="00781112">
        <w:rPr>
          <w:b/>
          <w:color w:val="000000" w:themeColor="text1"/>
          <w:sz w:val="20"/>
          <w:szCs w:val="20"/>
        </w:rPr>
        <w:t xml:space="preserve">Instructions and Measurement </w:t>
      </w:r>
    </w:p>
    <w:p w14:paraId="5E00F17E" w14:textId="149CBFE3"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53D57AC" w14:textId="668073FD"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7D5946B6" w14:textId="027B0899" w:rsidR="00CC634E" w:rsidRPr="00781112" w:rsidRDefault="00B9739D" w:rsidP="006A01BD">
      <w:pPr>
        <w:ind w:firstLine="720"/>
        <w:rPr>
          <w:rFonts w:cs="Arial"/>
          <w:color w:val="000000" w:themeColor="text1"/>
          <w:szCs w:val="16"/>
        </w:rPr>
      </w:pPr>
      <w:r w:rsidRPr="00781112">
        <w:rPr>
          <w:rFonts w:cs="Arial"/>
          <w:color w:val="000000" w:themeColor="text1"/>
          <w:szCs w:val="16"/>
        </w:rPr>
        <w:t>A. Inside the regular class 80% or more of the day;</w:t>
      </w:r>
    </w:p>
    <w:p w14:paraId="64FA9D2A" w14:textId="367420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7D6C4792" w14:textId="4E458A42"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7086FA15" w14:textId="47C5B9E3"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97EFC48" w14:textId="77777777" w:rsidR="001F6A28" w:rsidRPr="00781112" w:rsidRDefault="001F6A28" w:rsidP="004369B2">
      <w:pPr>
        <w:rPr>
          <w:color w:val="000000" w:themeColor="text1"/>
        </w:rPr>
      </w:pPr>
      <w:r w:rsidRPr="00781112">
        <w:rPr>
          <w:b/>
          <w:color w:val="000000" w:themeColor="text1"/>
        </w:rPr>
        <w:t>Data Source</w:t>
      </w:r>
    </w:p>
    <w:p w14:paraId="27A12343" w14:textId="1C2938A9"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EDFacts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6BD2884B" w14:textId="77777777" w:rsidR="001F6A28" w:rsidRPr="00781112" w:rsidRDefault="001F6A28" w:rsidP="004369B2">
      <w:pPr>
        <w:rPr>
          <w:color w:val="000000" w:themeColor="text1"/>
        </w:rPr>
      </w:pPr>
      <w:r w:rsidRPr="00781112">
        <w:rPr>
          <w:b/>
          <w:color w:val="000000" w:themeColor="text1"/>
        </w:rPr>
        <w:t>Measurement</w:t>
      </w:r>
    </w:p>
    <w:p w14:paraId="29361C11" w14:textId="73521566"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AC31DB2" w14:textId="62755B33"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32E65458" w14:textId="2F0BF00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r w:rsidR="00A33668"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times 100.</w:t>
      </w:r>
    </w:p>
    <w:p w14:paraId="06AD540D" w14:textId="77777777" w:rsidR="001F6A28" w:rsidRPr="00781112" w:rsidRDefault="001F6A28" w:rsidP="004369B2">
      <w:pPr>
        <w:rPr>
          <w:color w:val="000000" w:themeColor="text1"/>
        </w:rPr>
      </w:pPr>
      <w:r w:rsidRPr="00781112">
        <w:rPr>
          <w:b/>
          <w:color w:val="000000" w:themeColor="text1"/>
        </w:rPr>
        <w:t>Instructions</w:t>
      </w:r>
    </w:p>
    <w:p w14:paraId="37FC98B2" w14:textId="35D136AD"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707ABAC1" w14:textId="68EE8BDF" w:rsidR="001F6A28" w:rsidRPr="00781112" w:rsidRDefault="007072DC" w:rsidP="00BB7BC9">
      <w:pPr>
        <w:rPr>
          <w:rFonts w:cs="Arial"/>
          <w:color w:val="000000" w:themeColor="text1"/>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r w:rsidR="001F6A28" w:rsidRPr="00781112">
        <w:rPr>
          <w:rFonts w:cs="Arial"/>
          <w:color w:val="000000" w:themeColor="text1"/>
          <w:szCs w:val="16"/>
        </w:rPr>
        <w:t>Describe the results of the calculations and compare the results to the target.</w:t>
      </w:r>
    </w:p>
    <w:p w14:paraId="2F5B7301" w14:textId="3493AFBE"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782EB5F0" w14:textId="4775DE89" w:rsidR="00476EA2" w:rsidRPr="00781112" w:rsidRDefault="007B5383" w:rsidP="008645AD">
      <w:pPr>
        <w:pStyle w:val="Heading2"/>
      </w:pPr>
      <w:r w:rsidRPr="00781112">
        <w:t>5</w:t>
      </w:r>
      <w:r w:rsidR="002203FA" w:rsidRPr="00781112">
        <w:t xml:space="preserve"> </w:t>
      </w:r>
      <w:r w:rsidRPr="00781112">
        <w:t xml:space="preserve">- </w:t>
      </w:r>
      <w:r w:rsidR="00A44506" w:rsidRPr="00781112">
        <w:t>Indicator Data</w:t>
      </w:r>
      <w:r w:rsidR="00476EA2" w:rsidRPr="00781112">
        <w:t xml:space="preserve"> </w:t>
      </w:r>
    </w:p>
    <w:bookmarkEnd w:id="32"/>
    <w:p w14:paraId="5DFCDD59" w14:textId="5ABA842A"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630BF46A" w14:textId="12CF291C" w:rsidTr="005F5FE9">
        <w:trPr>
          <w:trHeight w:val="350"/>
        </w:trPr>
        <w:tc>
          <w:tcPr>
            <w:tcW w:w="248" w:type="pct"/>
            <w:tcBorders>
              <w:top w:val="single" w:sz="4" w:space="0" w:color="auto"/>
              <w:left w:val="single" w:sz="4" w:space="0" w:color="auto"/>
              <w:bottom w:val="single" w:sz="4" w:space="0" w:color="auto"/>
              <w:right w:val="single" w:sz="4" w:space="0" w:color="auto"/>
            </w:tcBorders>
            <w:shd w:val="clear" w:color="auto" w:fill="auto"/>
          </w:tcPr>
          <w:p w14:paraId="48C47ABF" w14:textId="5FDE6273"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4A5BBF1" w14:textId="21EFE08D"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527DC20"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5348DB7" w14:textId="31324C26"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2016</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C2D9A5E" w14:textId="1AFF80C5"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2017</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C87EFC5" w14:textId="1BB8AC30"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2018</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060660DD" w14:textId="4387DAEB"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3DBEC159" w14:textId="109E90CD"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2020</w:t>
            </w:r>
          </w:p>
        </w:tc>
      </w:tr>
      <w:tr w:rsidR="005F0D3B" w:rsidRPr="00781112" w14:paraId="692E70F6" w14:textId="3E9D9AB4" w:rsidTr="005F5FE9">
        <w:trPr>
          <w:trHeight w:val="70"/>
        </w:trPr>
        <w:tc>
          <w:tcPr>
            <w:tcW w:w="248" w:type="pct"/>
            <w:tcBorders>
              <w:top w:val="single" w:sz="4" w:space="0" w:color="auto"/>
              <w:left w:val="single" w:sz="4" w:space="0" w:color="auto"/>
              <w:right w:val="single" w:sz="4" w:space="0" w:color="auto"/>
            </w:tcBorders>
            <w:shd w:val="clear" w:color="auto" w:fill="auto"/>
            <w:vAlign w:val="center"/>
          </w:tcPr>
          <w:p w14:paraId="5CAC6F68"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shd w:val="clear" w:color="auto" w:fill="auto"/>
            <w:vAlign w:val="center"/>
          </w:tcPr>
          <w:p w14:paraId="5E3ACE02" w14:textId="787FECC2"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E0BC7" w14:textId="0A864988"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D169E17" w14:textId="1A4FF232" w:rsidR="00BB7BC9" w:rsidRPr="00781112" w:rsidRDefault="002B7490">
            <w:pPr>
              <w:jc w:val="center"/>
              <w:rPr>
                <w:rFonts w:cs="Arial"/>
                <w:color w:val="000000" w:themeColor="text1"/>
                <w:szCs w:val="16"/>
              </w:rPr>
            </w:pPr>
            <w:r w:rsidRPr="00781112">
              <w:rPr>
                <w:rFonts w:cs="Arial"/>
                <w:color w:val="000000" w:themeColor="text1"/>
                <w:szCs w:val="16"/>
              </w:rPr>
              <w:t>65.50%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BBDF86" w14:textId="7B8DE8AB" w:rsidR="00BB7BC9" w:rsidRPr="00781112" w:rsidRDefault="002B7490">
            <w:pPr>
              <w:jc w:val="center"/>
              <w:rPr>
                <w:rFonts w:cs="Arial"/>
                <w:color w:val="000000" w:themeColor="text1"/>
                <w:szCs w:val="16"/>
              </w:rPr>
            </w:pPr>
            <w:r w:rsidRPr="00781112">
              <w:rPr>
                <w:rFonts w:cs="Arial"/>
                <w:color w:val="000000" w:themeColor="text1"/>
                <w:szCs w:val="16"/>
              </w:rPr>
              <w:t>66.00%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7B0B98" w14:textId="016BD4D1" w:rsidR="00BB7BC9" w:rsidRPr="00781112" w:rsidRDefault="002B7490">
            <w:pPr>
              <w:jc w:val="center"/>
              <w:rPr>
                <w:rFonts w:cs="Arial"/>
                <w:color w:val="000000" w:themeColor="text1"/>
                <w:szCs w:val="16"/>
              </w:rPr>
            </w:pPr>
            <w:r w:rsidRPr="00781112">
              <w:rPr>
                <w:rFonts w:cs="Arial"/>
                <w:color w:val="000000" w:themeColor="text1"/>
                <w:szCs w:val="16"/>
              </w:rPr>
              <w:t>66.00%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4789FFB" w14:textId="5C8E4FBE" w:rsidR="00BB7BC9" w:rsidRPr="00781112" w:rsidRDefault="002B7490">
            <w:pPr>
              <w:jc w:val="center"/>
              <w:rPr>
                <w:rFonts w:cs="Arial"/>
                <w:color w:val="000000" w:themeColor="text1"/>
                <w:szCs w:val="16"/>
              </w:rPr>
            </w:pPr>
            <w:r w:rsidRPr="00781112">
              <w:rPr>
                <w:rFonts w:cs="Arial"/>
                <w:color w:val="000000" w:themeColor="text1"/>
                <w:szCs w:val="16"/>
              </w:rPr>
              <w:t>66.00%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29E5141" w14:textId="5AEA8269" w:rsidR="00BB7BC9" w:rsidRPr="00781112" w:rsidRDefault="002B7490">
            <w:pPr>
              <w:jc w:val="center"/>
              <w:rPr>
                <w:rFonts w:cs="Arial"/>
                <w:color w:val="000000" w:themeColor="text1"/>
                <w:szCs w:val="16"/>
              </w:rPr>
            </w:pPr>
            <w:r w:rsidRPr="00781112">
              <w:rPr>
                <w:rFonts w:cs="Arial"/>
                <w:color w:val="000000" w:themeColor="text1"/>
                <w:szCs w:val="16"/>
              </w:rPr>
              <w:t>71.00%</w:t>
            </w:r>
          </w:p>
        </w:tc>
      </w:tr>
      <w:tr w:rsidR="005F0D3B" w:rsidRPr="00781112" w14:paraId="79D81D10" w14:textId="49DC964C" w:rsidTr="005F5FE9">
        <w:trPr>
          <w:trHeight w:val="85"/>
        </w:trPr>
        <w:tc>
          <w:tcPr>
            <w:tcW w:w="248" w:type="pct"/>
            <w:tcBorders>
              <w:left w:val="single" w:sz="4" w:space="0" w:color="auto"/>
              <w:right w:val="single" w:sz="4" w:space="0" w:color="auto"/>
            </w:tcBorders>
            <w:shd w:val="clear" w:color="auto" w:fill="auto"/>
            <w:vAlign w:val="center"/>
          </w:tcPr>
          <w:p w14:paraId="35B07658" w14:textId="008DA9F0"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shd w:val="clear" w:color="auto" w:fill="auto"/>
            <w:vAlign w:val="center"/>
          </w:tcPr>
          <w:p w14:paraId="4DB8D3CD" w14:textId="0227B1FD" w:rsidR="00BB7BC9" w:rsidRPr="00781112" w:rsidRDefault="002B7490" w:rsidP="00A018D4">
            <w:pPr>
              <w:jc w:val="center"/>
              <w:rPr>
                <w:rFonts w:cs="Arial"/>
                <w:color w:val="000000" w:themeColor="text1"/>
                <w:szCs w:val="16"/>
              </w:rPr>
            </w:pPr>
            <w:r w:rsidRPr="00781112">
              <w:rPr>
                <w:rFonts w:cs="Arial"/>
                <w:color w:val="000000" w:themeColor="text1"/>
                <w:szCs w:val="16"/>
              </w:rPr>
              <w:t>75.73%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24467" w14:textId="777777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26F098" w14:textId="47E3F3D4" w:rsidR="00BB7BC9" w:rsidRPr="00781112" w:rsidRDefault="002B7490">
            <w:pPr>
              <w:jc w:val="center"/>
              <w:rPr>
                <w:rFonts w:cs="Arial"/>
                <w:color w:val="000000" w:themeColor="text1"/>
                <w:szCs w:val="16"/>
              </w:rPr>
            </w:pPr>
            <w:r w:rsidRPr="00781112">
              <w:rPr>
                <w:rFonts w:cs="Arial"/>
                <w:color w:val="000000" w:themeColor="text1"/>
                <w:szCs w:val="16"/>
              </w:rPr>
              <w:t>70.87%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E8D482" w14:textId="0F0DD959" w:rsidR="00BB7BC9" w:rsidRPr="00781112" w:rsidRDefault="002B7490">
            <w:pPr>
              <w:jc w:val="center"/>
              <w:rPr>
                <w:rFonts w:cs="Arial"/>
                <w:color w:val="000000" w:themeColor="text1"/>
                <w:szCs w:val="16"/>
              </w:rPr>
            </w:pPr>
            <w:r w:rsidRPr="00781112">
              <w:rPr>
                <w:rFonts w:cs="Arial"/>
                <w:color w:val="000000" w:themeColor="text1"/>
                <w:szCs w:val="16"/>
              </w:rPr>
              <w:t>67.98%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2D382C" w14:textId="2157E0D5" w:rsidR="00BB7BC9" w:rsidRPr="00781112" w:rsidRDefault="002B7490">
            <w:pPr>
              <w:jc w:val="center"/>
              <w:rPr>
                <w:rFonts w:cs="Arial"/>
                <w:color w:val="000000" w:themeColor="text1"/>
                <w:szCs w:val="16"/>
              </w:rPr>
            </w:pPr>
            <w:r w:rsidRPr="00781112">
              <w:rPr>
                <w:rFonts w:cs="Arial"/>
                <w:color w:val="000000" w:themeColor="text1"/>
                <w:szCs w:val="16"/>
              </w:rPr>
              <w:t>68.96%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D0CB9F" w14:textId="43591961" w:rsidR="00BB7BC9" w:rsidRPr="00781112" w:rsidRDefault="002B7490">
            <w:pPr>
              <w:jc w:val="center"/>
              <w:rPr>
                <w:rFonts w:cs="Arial"/>
                <w:color w:val="000000" w:themeColor="text1"/>
                <w:szCs w:val="16"/>
              </w:rPr>
            </w:pPr>
            <w:r w:rsidRPr="00781112">
              <w:rPr>
                <w:rFonts w:cs="Arial"/>
                <w:color w:val="000000" w:themeColor="text1"/>
                <w:szCs w:val="16"/>
              </w:rPr>
              <w:t>71.18%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207239" w14:textId="4C2F7B73" w:rsidR="00BB7BC9" w:rsidRPr="00781112" w:rsidRDefault="002B7490">
            <w:pPr>
              <w:jc w:val="center"/>
              <w:rPr>
                <w:rFonts w:cs="Arial"/>
                <w:color w:val="000000" w:themeColor="text1"/>
                <w:szCs w:val="16"/>
              </w:rPr>
            </w:pPr>
            <w:r w:rsidRPr="00781112">
              <w:rPr>
                <w:rFonts w:cs="Arial"/>
                <w:color w:val="000000" w:themeColor="text1"/>
                <w:szCs w:val="16"/>
              </w:rPr>
              <w:t>75.73%</w:t>
            </w:r>
          </w:p>
        </w:tc>
      </w:tr>
      <w:tr w:rsidR="005F0D3B" w:rsidRPr="00781112" w14:paraId="7EE51EBD" w14:textId="513FE18C"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72DFD56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shd w:val="clear" w:color="auto" w:fill="auto"/>
            <w:vAlign w:val="center"/>
          </w:tcPr>
          <w:p w14:paraId="100A2A6F" w14:textId="100D35A9"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A945A" w14:textId="5CBFA4BF"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EA2B18" w14:textId="75A611A3" w:rsidR="00BB7BC9" w:rsidRPr="00781112" w:rsidRDefault="002B7490">
            <w:pPr>
              <w:jc w:val="center"/>
              <w:rPr>
                <w:rFonts w:cs="Arial"/>
                <w:color w:val="000000" w:themeColor="text1"/>
                <w:szCs w:val="16"/>
              </w:rPr>
            </w:pPr>
            <w:r w:rsidRPr="00781112">
              <w:rPr>
                <w:rFonts w:cs="Arial"/>
                <w:color w:val="000000" w:themeColor="text1"/>
                <w:szCs w:val="16"/>
              </w:rPr>
              <w:t>9.50%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840EDC" w14:textId="6514C970" w:rsidR="00BB7BC9" w:rsidRPr="00781112" w:rsidRDefault="002B7490">
            <w:pPr>
              <w:jc w:val="center"/>
              <w:rPr>
                <w:rFonts w:cs="Arial"/>
                <w:color w:val="000000" w:themeColor="text1"/>
                <w:szCs w:val="16"/>
              </w:rPr>
            </w:pPr>
            <w:r w:rsidRPr="00781112">
              <w:rPr>
                <w:rFonts w:cs="Arial"/>
                <w:color w:val="000000" w:themeColor="text1"/>
                <w:szCs w:val="16"/>
              </w:rPr>
              <w:t>9.25%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43AF146" w14:textId="07F1A374" w:rsidR="00BB7BC9" w:rsidRPr="00781112" w:rsidRDefault="002B7490">
            <w:pPr>
              <w:jc w:val="center"/>
              <w:rPr>
                <w:rFonts w:cs="Arial"/>
                <w:color w:val="000000" w:themeColor="text1"/>
                <w:szCs w:val="16"/>
              </w:rPr>
            </w:pPr>
            <w:r w:rsidRPr="00781112">
              <w:rPr>
                <w:rFonts w:cs="Arial"/>
                <w:color w:val="000000" w:themeColor="text1"/>
                <w:szCs w:val="16"/>
              </w:rPr>
              <w:t>9.25%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4470517" w14:textId="6EB26EBD" w:rsidR="00BB7BC9" w:rsidRPr="00781112" w:rsidRDefault="002B7490">
            <w:pPr>
              <w:jc w:val="center"/>
              <w:rPr>
                <w:rFonts w:cs="Arial"/>
                <w:color w:val="000000" w:themeColor="text1"/>
                <w:szCs w:val="16"/>
              </w:rPr>
            </w:pPr>
            <w:r w:rsidRPr="00781112">
              <w:rPr>
                <w:rFonts w:cs="Arial"/>
                <w:color w:val="000000" w:themeColor="text1"/>
                <w:szCs w:val="16"/>
              </w:rPr>
              <w:t>9.25%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9B042C" w14:textId="501324B8" w:rsidR="00BB7BC9" w:rsidRPr="00781112" w:rsidRDefault="002B7490">
            <w:pPr>
              <w:jc w:val="center"/>
              <w:rPr>
                <w:rFonts w:cs="Arial"/>
                <w:color w:val="000000" w:themeColor="text1"/>
                <w:szCs w:val="16"/>
              </w:rPr>
            </w:pPr>
            <w:r w:rsidRPr="00781112">
              <w:rPr>
                <w:rFonts w:cs="Arial"/>
                <w:color w:val="000000" w:themeColor="text1"/>
                <w:szCs w:val="16"/>
              </w:rPr>
              <w:t>8.00%</w:t>
            </w:r>
          </w:p>
        </w:tc>
      </w:tr>
      <w:tr w:rsidR="005F0D3B" w:rsidRPr="00781112" w14:paraId="78E6E13B" w14:textId="52E2E705" w:rsidTr="005F5FE9">
        <w:trPr>
          <w:trHeight w:val="85"/>
        </w:trPr>
        <w:tc>
          <w:tcPr>
            <w:tcW w:w="248" w:type="pct"/>
            <w:tcBorders>
              <w:left w:val="single" w:sz="4" w:space="0" w:color="auto"/>
              <w:right w:val="single" w:sz="4" w:space="0" w:color="auto"/>
            </w:tcBorders>
            <w:shd w:val="clear" w:color="auto" w:fill="auto"/>
            <w:vAlign w:val="center"/>
          </w:tcPr>
          <w:p w14:paraId="36D93B90" w14:textId="2EF21745"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shd w:val="clear" w:color="auto" w:fill="auto"/>
            <w:vAlign w:val="center"/>
          </w:tcPr>
          <w:p w14:paraId="46CEC360" w14:textId="3F201206" w:rsidR="00BB7BC9" w:rsidRPr="00781112" w:rsidRDefault="002B7490" w:rsidP="00A018D4">
            <w:pPr>
              <w:jc w:val="center"/>
              <w:rPr>
                <w:rFonts w:cs="Arial"/>
                <w:color w:val="000000" w:themeColor="text1"/>
                <w:szCs w:val="16"/>
              </w:rPr>
            </w:pPr>
            <w:r w:rsidRPr="00781112">
              <w:rPr>
                <w:rFonts w:cs="Arial"/>
                <w:color w:val="000000" w:themeColor="text1"/>
                <w:szCs w:val="16"/>
              </w:rPr>
              <w:t>6.68%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A1F55" w14:textId="777777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00B11B" w14:textId="1B815A91" w:rsidR="00BB7BC9" w:rsidRPr="00781112" w:rsidRDefault="002B7490">
            <w:pPr>
              <w:jc w:val="center"/>
              <w:rPr>
                <w:rFonts w:cs="Arial"/>
                <w:color w:val="000000" w:themeColor="text1"/>
                <w:szCs w:val="16"/>
              </w:rPr>
            </w:pPr>
            <w:r w:rsidRPr="00781112">
              <w:rPr>
                <w:rFonts w:cs="Arial"/>
                <w:color w:val="000000" w:themeColor="text1"/>
                <w:szCs w:val="16"/>
              </w:rPr>
              <w:t>8.26%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973F9D" w14:textId="4C7C3BCD" w:rsidR="00BB7BC9" w:rsidRPr="00781112" w:rsidRDefault="002B7490">
            <w:pPr>
              <w:jc w:val="center"/>
              <w:rPr>
                <w:rFonts w:cs="Arial"/>
                <w:color w:val="000000" w:themeColor="text1"/>
                <w:szCs w:val="16"/>
              </w:rPr>
            </w:pPr>
            <w:r w:rsidRPr="00781112">
              <w:rPr>
                <w:rFonts w:cs="Arial"/>
                <w:color w:val="000000" w:themeColor="text1"/>
                <w:szCs w:val="16"/>
              </w:rPr>
              <w:t>9.19%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70259B" w14:textId="550EFA1E" w:rsidR="00BB7BC9" w:rsidRPr="00781112" w:rsidRDefault="002B7490">
            <w:pPr>
              <w:jc w:val="center"/>
              <w:rPr>
                <w:rFonts w:cs="Arial"/>
                <w:color w:val="000000" w:themeColor="text1"/>
                <w:szCs w:val="16"/>
              </w:rPr>
            </w:pPr>
            <w:r w:rsidRPr="00781112">
              <w:rPr>
                <w:rFonts w:cs="Arial"/>
                <w:color w:val="000000" w:themeColor="text1"/>
                <w:szCs w:val="16"/>
              </w:rPr>
              <w:t>8.32%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35F6E4C" w14:textId="3A9E3826" w:rsidR="00BB7BC9" w:rsidRPr="00781112" w:rsidRDefault="002B7490">
            <w:pPr>
              <w:jc w:val="center"/>
              <w:rPr>
                <w:rFonts w:cs="Arial"/>
                <w:color w:val="000000" w:themeColor="text1"/>
                <w:szCs w:val="16"/>
              </w:rPr>
            </w:pPr>
            <w:r w:rsidRPr="00781112">
              <w:rPr>
                <w:rFonts w:cs="Arial"/>
                <w:color w:val="000000" w:themeColor="text1"/>
                <w:szCs w:val="16"/>
              </w:rPr>
              <w:t>7.94%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17276C" w14:textId="62DCEF2E" w:rsidR="00BB7BC9" w:rsidRPr="00781112" w:rsidRDefault="002B7490">
            <w:pPr>
              <w:jc w:val="center"/>
              <w:rPr>
                <w:rFonts w:cs="Arial"/>
                <w:color w:val="000000" w:themeColor="text1"/>
                <w:szCs w:val="16"/>
              </w:rPr>
            </w:pPr>
            <w:r w:rsidRPr="00781112">
              <w:rPr>
                <w:rFonts w:cs="Arial"/>
                <w:color w:val="000000" w:themeColor="text1"/>
                <w:szCs w:val="16"/>
              </w:rPr>
              <w:t>6.68%</w:t>
            </w:r>
          </w:p>
        </w:tc>
      </w:tr>
      <w:tr w:rsidR="005F0D3B" w:rsidRPr="00781112" w14:paraId="37C91828" w14:textId="68984F02"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4C5B975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shd w:val="clear" w:color="auto" w:fill="auto"/>
            <w:vAlign w:val="center"/>
          </w:tcPr>
          <w:p w14:paraId="70C9224B" w14:textId="70CACD96"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57A99" w14:textId="4C6033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1AD3A63" w14:textId="1D90F8DD" w:rsidR="00BB7BC9" w:rsidRPr="00781112" w:rsidRDefault="002B7490">
            <w:pPr>
              <w:jc w:val="center"/>
              <w:rPr>
                <w:rFonts w:cs="Arial"/>
                <w:color w:val="000000" w:themeColor="text1"/>
                <w:szCs w:val="16"/>
              </w:rPr>
            </w:pPr>
            <w:r w:rsidRPr="00781112">
              <w:rPr>
                <w:rFonts w:cs="Arial"/>
                <w:color w:val="000000" w:themeColor="text1"/>
                <w:szCs w:val="16"/>
              </w:rPr>
              <w:t>1.85%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A5DD15" w14:textId="499E0DC6" w:rsidR="00BB7BC9" w:rsidRPr="00781112" w:rsidRDefault="002B7490">
            <w:pPr>
              <w:jc w:val="center"/>
              <w:rPr>
                <w:rFonts w:cs="Arial"/>
                <w:color w:val="000000" w:themeColor="text1"/>
                <w:szCs w:val="16"/>
              </w:rPr>
            </w:pPr>
            <w:r w:rsidRPr="00781112">
              <w:rPr>
                <w:rFonts w:cs="Arial"/>
                <w:color w:val="000000" w:themeColor="text1"/>
                <w:szCs w:val="16"/>
              </w:rPr>
              <w:t>1.85%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1F1E81" w14:textId="46D753CA" w:rsidR="00BB7BC9" w:rsidRPr="00781112" w:rsidRDefault="002B7490">
            <w:pPr>
              <w:jc w:val="center"/>
              <w:rPr>
                <w:rFonts w:cs="Arial"/>
                <w:color w:val="000000" w:themeColor="text1"/>
                <w:szCs w:val="16"/>
              </w:rPr>
            </w:pPr>
            <w:r w:rsidRPr="00781112">
              <w:rPr>
                <w:rFonts w:cs="Arial"/>
                <w:color w:val="000000" w:themeColor="text1"/>
                <w:szCs w:val="16"/>
              </w:rPr>
              <w:t>1.83%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E23DB0" w14:textId="434389A0" w:rsidR="00BB7BC9" w:rsidRPr="00781112" w:rsidRDefault="002B7490">
            <w:pPr>
              <w:jc w:val="center"/>
              <w:rPr>
                <w:rFonts w:cs="Arial"/>
                <w:color w:val="000000" w:themeColor="text1"/>
                <w:szCs w:val="16"/>
              </w:rPr>
            </w:pPr>
            <w:r w:rsidRPr="00781112">
              <w:rPr>
                <w:rFonts w:cs="Arial"/>
                <w:color w:val="000000" w:themeColor="text1"/>
                <w:szCs w:val="16"/>
              </w:rPr>
              <w:t>1.83%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656878" w14:textId="58FADB64" w:rsidR="00BB7BC9" w:rsidRPr="00781112" w:rsidRDefault="002B7490">
            <w:pPr>
              <w:jc w:val="center"/>
              <w:rPr>
                <w:rFonts w:cs="Arial"/>
                <w:color w:val="000000" w:themeColor="text1"/>
                <w:szCs w:val="16"/>
              </w:rPr>
            </w:pPr>
            <w:r w:rsidRPr="00781112">
              <w:rPr>
                <w:rFonts w:cs="Arial"/>
                <w:color w:val="000000" w:themeColor="text1"/>
                <w:szCs w:val="16"/>
              </w:rPr>
              <w:t>0.75%</w:t>
            </w:r>
          </w:p>
        </w:tc>
      </w:tr>
      <w:tr w:rsidR="005F0D3B" w:rsidRPr="00781112" w14:paraId="64BAB70F" w14:textId="676A8AD8" w:rsidTr="005F5FE9">
        <w:trPr>
          <w:trHeight w:val="85"/>
        </w:trPr>
        <w:tc>
          <w:tcPr>
            <w:tcW w:w="248" w:type="pct"/>
            <w:tcBorders>
              <w:left w:val="single" w:sz="4" w:space="0" w:color="auto"/>
              <w:right w:val="single" w:sz="4" w:space="0" w:color="auto"/>
            </w:tcBorders>
            <w:shd w:val="clear" w:color="auto" w:fill="auto"/>
            <w:vAlign w:val="center"/>
          </w:tcPr>
          <w:p w14:paraId="38B08CB3" w14:textId="5CD30D2F"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shd w:val="clear" w:color="auto" w:fill="auto"/>
            <w:vAlign w:val="center"/>
          </w:tcPr>
          <w:p w14:paraId="68128485" w14:textId="059E5B6B" w:rsidR="00BB7BC9" w:rsidRPr="00781112" w:rsidRDefault="002B7490" w:rsidP="00A018D4">
            <w:pPr>
              <w:jc w:val="center"/>
              <w:rPr>
                <w:rFonts w:cs="Arial"/>
                <w:color w:val="000000" w:themeColor="text1"/>
                <w:szCs w:val="16"/>
              </w:rPr>
            </w:pPr>
            <w:r w:rsidRPr="00781112">
              <w:rPr>
                <w:rFonts w:cs="Arial"/>
                <w:color w:val="000000" w:themeColor="text1"/>
                <w:szCs w:val="16"/>
              </w:rPr>
              <w:t>0.61%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2C5D3" w14:textId="777777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1BEB85" w14:textId="2725D64A" w:rsidR="00BB7BC9" w:rsidRPr="00781112" w:rsidRDefault="002B7490">
            <w:pPr>
              <w:jc w:val="center"/>
              <w:rPr>
                <w:rFonts w:cs="Arial"/>
                <w:color w:val="000000" w:themeColor="text1"/>
                <w:szCs w:val="16"/>
              </w:rPr>
            </w:pPr>
            <w:r w:rsidRPr="00781112">
              <w:rPr>
                <w:rFonts w:cs="Arial"/>
                <w:color w:val="000000" w:themeColor="text1"/>
                <w:szCs w:val="16"/>
              </w:rPr>
              <w:t>0.79%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1272C2D" w14:textId="719A941F" w:rsidR="00BB7BC9" w:rsidRPr="00781112" w:rsidRDefault="002B7490">
            <w:pPr>
              <w:jc w:val="center"/>
              <w:rPr>
                <w:rFonts w:cs="Arial"/>
                <w:color w:val="000000" w:themeColor="text1"/>
                <w:szCs w:val="16"/>
              </w:rPr>
            </w:pPr>
            <w:r w:rsidRPr="00781112">
              <w:rPr>
                <w:rFonts w:cs="Arial"/>
                <w:color w:val="000000" w:themeColor="text1"/>
                <w:szCs w:val="16"/>
              </w:rPr>
              <w:t>0.64%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D69289" w14:textId="52314ECA" w:rsidR="00BB7BC9" w:rsidRPr="00781112" w:rsidRDefault="002B7490">
            <w:pPr>
              <w:jc w:val="center"/>
              <w:rPr>
                <w:rFonts w:cs="Arial"/>
                <w:color w:val="000000" w:themeColor="text1"/>
                <w:szCs w:val="16"/>
              </w:rPr>
            </w:pPr>
            <w:r w:rsidRPr="00781112">
              <w:rPr>
                <w:rFonts w:cs="Arial"/>
                <w:color w:val="000000" w:themeColor="text1"/>
                <w:szCs w:val="16"/>
              </w:rPr>
              <w:t>0.70%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C089F4" w14:textId="48A87A04" w:rsidR="00BB7BC9" w:rsidRPr="00781112" w:rsidRDefault="002B7490">
            <w:pPr>
              <w:jc w:val="center"/>
              <w:rPr>
                <w:rFonts w:cs="Arial"/>
                <w:color w:val="000000" w:themeColor="text1"/>
                <w:szCs w:val="16"/>
              </w:rPr>
            </w:pPr>
            <w:r w:rsidRPr="00781112">
              <w:rPr>
                <w:rFonts w:cs="Arial"/>
                <w:color w:val="000000" w:themeColor="text1"/>
                <w:szCs w:val="16"/>
              </w:rPr>
              <w:t>0.76%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793CF8" w14:textId="025DD51B" w:rsidR="00BB7BC9" w:rsidRPr="00781112" w:rsidRDefault="002B7490">
            <w:pPr>
              <w:jc w:val="center"/>
              <w:rPr>
                <w:rFonts w:cs="Arial"/>
                <w:color w:val="000000" w:themeColor="text1"/>
                <w:szCs w:val="16"/>
              </w:rPr>
            </w:pPr>
            <w:r w:rsidRPr="00781112">
              <w:rPr>
                <w:rFonts w:cs="Arial"/>
                <w:color w:val="000000" w:themeColor="text1"/>
                <w:szCs w:val="16"/>
              </w:rPr>
              <w:t>0.61%</w:t>
            </w:r>
          </w:p>
        </w:tc>
      </w:tr>
    </w:tbl>
    <w:p w14:paraId="4F18E18D" w14:textId="77777777" w:rsidR="004A4803" w:rsidRPr="00781112" w:rsidRDefault="004A4803" w:rsidP="004369B2">
      <w:pPr>
        <w:rPr>
          <w:color w:val="000000" w:themeColor="text1"/>
        </w:rPr>
      </w:pPr>
    </w:p>
    <w:p w14:paraId="4B421711" w14:textId="34B64243" w:rsidR="002C207A" w:rsidRPr="00781112" w:rsidRDefault="002C207A" w:rsidP="004369B2">
      <w:pPr>
        <w:rPr>
          <w:color w:val="000000" w:themeColor="text1"/>
        </w:rPr>
      </w:pPr>
      <w:r w:rsidRPr="00781112">
        <w:rPr>
          <w:b/>
          <w:color w:val="000000" w:themeColor="text1"/>
        </w:rPr>
        <w:t>Targets</w:t>
      </w:r>
    </w:p>
    <w:tbl>
      <w:tblPr>
        <w:tblW w:w="4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3"/>
        <w:gridCol w:w="1691"/>
        <w:gridCol w:w="1691"/>
        <w:gridCol w:w="1691"/>
        <w:gridCol w:w="1691"/>
        <w:gridCol w:w="1691"/>
      </w:tblGrid>
      <w:tr w:rsidR="00B14519" w:rsidRPr="00781112" w14:paraId="67121B7A" w14:textId="6B1EA8E0" w:rsidTr="00451D7E">
        <w:trPr>
          <w:trHeight w:val="264"/>
        </w:trPr>
        <w:tc>
          <w:tcPr>
            <w:tcW w:w="369" w:type="pct"/>
            <w:tcBorders>
              <w:bottom w:val="single" w:sz="4" w:space="0" w:color="auto"/>
            </w:tcBorders>
            <w:shd w:val="clear" w:color="auto" w:fill="auto"/>
          </w:tcPr>
          <w:p w14:paraId="417BC1C4" w14:textId="77777777" w:rsidR="00B14519" w:rsidRPr="00781112" w:rsidRDefault="00B14519" w:rsidP="00D62058">
            <w:pPr>
              <w:jc w:val="center"/>
              <w:rPr>
                <w:b/>
                <w:color w:val="000000" w:themeColor="text1"/>
              </w:rPr>
            </w:pPr>
            <w:r w:rsidRPr="00781112">
              <w:rPr>
                <w:b/>
                <w:color w:val="000000" w:themeColor="text1"/>
              </w:rPr>
              <w:t>FFY</w:t>
            </w:r>
          </w:p>
        </w:tc>
        <w:tc>
          <w:tcPr>
            <w:tcW w:w="926" w:type="pct"/>
            <w:shd w:val="clear" w:color="auto" w:fill="auto"/>
          </w:tcPr>
          <w:p w14:paraId="43C546D5" w14:textId="7A1B1AB1" w:rsidR="00B14519" w:rsidRPr="00781112" w:rsidRDefault="00B14519" w:rsidP="00D62058">
            <w:pPr>
              <w:jc w:val="center"/>
              <w:rPr>
                <w:b/>
                <w:color w:val="000000" w:themeColor="text1"/>
              </w:rPr>
            </w:pPr>
            <w:r w:rsidRPr="00781112">
              <w:rPr>
                <w:b/>
                <w:color w:val="000000" w:themeColor="text1"/>
              </w:rPr>
              <w:t>2021</w:t>
            </w:r>
          </w:p>
        </w:tc>
        <w:tc>
          <w:tcPr>
            <w:tcW w:w="926" w:type="pct"/>
          </w:tcPr>
          <w:p w14:paraId="12417F21" w14:textId="04859FD1" w:rsidR="00B14519" w:rsidRPr="00781112" w:rsidRDefault="00B14519" w:rsidP="00D62058">
            <w:pPr>
              <w:jc w:val="center"/>
              <w:rPr>
                <w:b/>
                <w:color w:val="000000" w:themeColor="text1"/>
              </w:rPr>
            </w:pPr>
            <w:r w:rsidRPr="00781112">
              <w:rPr>
                <w:rFonts w:cs="Arial"/>
                <w:b/>
                <w:color w:val="000000" w:themeColor="text1"/>
                <w:szCs w:val="16"/>
              </w:rPr>
              <w:t>2022</w:t>
            </w:r>
          </w:p>
        </w:tc>
        <w:tc>
          <w:tcPr>
            <w:tcW w:w="926" w:type="pct"/>
          </w:tcPr>
          <w:p w14:paraId="75B6E23D" w14:textId="1550C183" w:rsidR="00B14519" w:rsidRPr="00781112" w:rsidRDefault="00B14519" w:rsidP="00D62058">
            <w:pPr>
              <w:jc w:val="center"/>
              <w:rPr>
                <w:b/>
                <w:color w:val="000000" w:themeColor="text1"/>
              </w:rPr>
            </w:pPr>
            <w:r w:rsidRPr="00781112">
              <w:rPr>
                <w:rFonts w:cs="Arial"/>
                <w:b/>
                <w:color w:val="000000" w:themeColor="text1"/>
                <w:szCs w:val="16"/>
              </w:rPr>
              <w:t>2023</w:t>
            </w:r>
          </w:p>
        </w:tc>
        <w:tc>
          <w:tcPr>
            <w:tcW w:w="926" w:type="pct"/>
          </w:tcPr>
          <w:p w14:paraId="0412226B" w14:textId="561C74FD" w:rsidR="00B14519" w:rsidRPr="00781112" w:rsidRDefault="00B14519" w:rsidP="00D62058">
            <w:pPr>
              <w:jc w:val="center"/>
              <w:rPr>
                <w:b/>
                <w:color w:val="000000" w:themeColor="text1"/>
              </w:rPr>
            </w:pPr>
            <w:r w:rsidRPr="00781112">
              <w:rPr>
                <w:rFonts w:cs="Arial"/>
                <w:b/>
                <w:color w:val="000000" w:themeColor="text1"/>
                <w:szCs w:val="16"/>
              </w:rPr>
              <w:t>2024</w:t>
            </w:r>
          </w:p>
        </w:tc>
        <w:tc>
          <w:tcPr>
            <w:tcW w:w="926" w:type="pct"/>
          </w:tcPr>
          <w:p w14:paraId="46BF17D8" w14:textId="1CC0E2CE" w:rsidR="00B14519" w:rsidRPr="00781112" w:rsidRDefault="00B14519" w:rsidP="00D62058">
            <w:pPr>
              <w:jc w:val="center"/>
              <w:rPr>
                <w:b/>
                <w:color w:val="000000" w:themeColor="text1"/>
              </w:rPr>
            </w:pPr>
            <w:r w:rsidRPr="00781112">
              <w:rPr>
                <w:rFonts w:cs="Arial"/>
                <w:b/>
                <w:color w:val="000000" w:themeColor="text1"/>
                <w:szCs w:val="16"/>
              </w:rPr>
              <w:t>2025</w:t>
            </w:r>
          </w:p>
        </w:tc>
      </w:tr>
      <w:tr w:rsidR="00B14519" w:rsidRPr="00781112" w14:paraId="0E725BBE" w14:textId="7C441390" w:rsidTr="00451D7E">
        <w:trPr>
          <w:trHeight w:val="270"/>
        </w:trPr>
        <w:tc>
          <w:tcPr>
            <w:tcW w:w="369" w:type="pct"/>
            <w:shd w:val="clear" w:color="auto" w:fill="auto"/>
            <w:vAlign w:val="center"/>
          </w:tcPr>
          <w:p w14:paraId="3CB4FC66" w14:textId="21A33A6B" w:rsidR="00B14519" w:rsidRPr="00781112" w:rsidRDefault="00B14519" w:rsidP="00D62058">
            <w:pPr>
              <w:rPr>
                <w:rFonts w:cs="Arial"/>
                <w:color w:val="000000" w:themeColor="text1"/>
                <w:szCs w:val="16"/>
              </w:rPr>
            </w:pPr>
            <w:r w:rsidRPr="00781112">
              <w:rPr>
                <w:rFonts w:cs="Arial"/>
                <w:color w:val="000000" w:themeColor="text1"/>
                <w:szCs w:val="16"/>
              </w:rPr>
              <w:t>Target A &gt;=</w:t>
            </w:r>
          </w:p>
        </w:tc>
        <w:tc>
          <w:tcPr>
            <w:tcW w:w="926" w:type="pct"/>
            <w:shd w:val="clear" w:color="auto" w:fill="auto"/>
            <w:vAlign w:val="center"/>
          </w:tcPr>
          <w:p w14:paraId="0643B02C" w14:textId="7613B373" w:rsidR="00B14519" w:rsidRPr="00781112" w:rsidRDefault="00B14519" w:rsidP="00D62058">
            <w:pPr>
              <w:jc w:val="center"/>
              <w:rPr>
                <w:rFonts w:cs="Arial"/>
                <w:color w:val="000000" w:themeColor="text1"/>
                <w:szCs w:val="16"/>
              </w:rPr>
            </w:pPr>
            <w:r w:rsidRPr="00781112">
              <w:rPr>
                <w:rFonts w:cs="Arial"/>
                <w:color w:val="000000" w:themeColor="text1"/>
                <w:szCs w:val="16"/>
              </w:rPr>
              <w:t>71.50%</w:t>
            </w:r>
          </w:p>
        </w:tc>
        <w:tc>
          <w:tcPr>
            <w:tcW w:w="926" w:type="pct"/>
          </w:tcPr>
          <w:p w14:paraId="5AAF7764" w14:textId="6CE24C23" w:rsidR="00B14519" w:rsidRPr="00781112" w:rsidRDefault="00B14519" w:rsidP="00D62058">
            <w:pPr>
              <w:jc w:val="center"/>
              <w:rPr>
                <w:rFonts w:cs="Arial"/>
                <w:color w:val="000000" w:themeColor="text1"/>
                <w:szCs w:val="16"/>
              </w:rPr>
            </w:pPr>
            <w:r w:rsidRPr="00781112">
              <w:rPr>
                <w:color w:val="000000" w:themeColor="text1"/>
                <w:szCs w:val="16"/>
              </w:rPr>
              <w:t>72.00%</w:t>
            </w:r>
          </w:p>
        </w:tc>
        <w:tc>
          <w:tcPr>
            <w:tcW w:w="926" w:type="pct"/>
          </w:tcPr>
          <w:p w14:paraId="18842FBE" w14:textId="34C8AABC" w:rsidR="00B14519" w:rsidRPr="00781112" w:rsidRDefault="00B14519" w:rsidP="00D62058">
            <w:pPr>
              <w:jc w:val="center"/>
              <w:rPr>
                <w:rFonts w:cs="Arial"/>
                <w:color w:val="000000" w:themeColor="text1"/>
                <w:szCs w:val="16"/>
              </w:rPr>
            </w:pPr>
            <w:r w:rsidRPr="00781112">
              <w:rPr>
                <w:color w:val="000000" w:themeColor="text1"/>
                <w:szCs w:val="16"/>
              </w:rPr>
              <w:t>72.50%</w:t>
            </w:r>
          </w:p>
        </w:tc>
        <w:tc>
          <w:tcPr>
            <w:tcW w:w="926" w:type="pct"/>
          </w:tcPr>
          <w:p w14:paraId="22283B88" w14:textId="78C8081B" w:rsidR="00B14519" w:rsidRPr="00781112" w:rsidRDefault="00B14519" w:rsidP="00D62058">
            <w:pPr>
              <w:jc w:val="center"/>
              <w:rPr>
                <w:rFonts w:cs="Arial"/>
                <w:color w:val="000000" w:themeColor="text1"/>
                <w:szCs w:val="16"/>
              </w:rPr>
            </w:pPr>
            <w:r w:rsidRPr="00781112">
              <w:rPr>
                <w:color w:val="000000" w:themeColor="text1"/>
                <w:szCs w:val="16"/>
              </w:rPr>
              <w:t>73.00%</w:t>
            </w:r>
          </w:p>
        </w:tc>
        <w:tc>
          <w:tcPr>
            <w:tcW w:w="926" w:type="pct"/>
          </w:tcPr>
          <w:p w14:paraId="7C808A06" w14:textId="70D7E176" w:rsidR="00B14519" w:rsidRPr="00781112" w:rsidRDefault="00B14519" w:rsidP="00D62058">
            <w:pPr>
              <w:jc w:val="center"/>
              <w:rPr>
                <w:rFonts w:cs="Arial"/>
                <w:color w:val="000000" w:themeColor="text1"/>
                <w:szCs w:val="16"/>
              </w:rPr>
            </w:pPr>
            <w:r w:rsidRPr="00781112">
              <w:rPr>
                <w:color w:val="000000" w:themeColor="text1"/>
                <w:szCs w:val="16"/>
              </w:rPr>
              <w:t>75.75%</w:t>
            </w:r>
          </w:p>
        </w:tc>
      </w:tr>
      <w:tr w:rsidR="00B14519" w:rsidRPr="00781112" w14:paraId="17C12050" w14:textId="1A45DE5B" w:rsidTr="00451D7E">
        <w:trPr>
          <w:trHeight w:val="270"/>
        </w:trPr>
        <w:tc>
          <w:tcPr>
            <w:tcW w:w="369" w:type="pct"/>
            <w:shd w:val="clear" w:color="auto" w:fill="auto"/>
            <w:vAlign w:val="center"/>
          </w:tcPr>
          <w:p w14:paraId="5FF4BE45" w14:textId="3D057CF2" w:rsidR="00B14519" w:rsidRPr="00781112" w:rsidRDefault="00B14519" w:rsidP="00D62058">
            <w:pPr>
              <w:rPr>
                <w:rFonts w:cs="Arial"/>
                <w:color w:val="000000" w:themeColor="text1"/>
                <w:szCs w:val="16"/>
              </w:rPr>
            </w:pPr>
            <w:r w:rsidRPr="00781112">
              <w:rPr>
                <w:rFonts w:cs="Arial"/>
                <w:color w:val="000000" w:themeColor="text1"/>
                <w:szCs w:val="16"/>
              </w:rPr>
              <w:t>Target B &lt;=</w:t>
            </w:r>
          </w:p>
        </w:tc>
        <w:tc>
          <w:tcPr>
            <w:tcW w:w="926" w:type="pct"/>
            <w:shd w:val="clear" w:color="auto" w:fill="auto"/>
            <w:vAlign w:val="center"/>
          </w:tcPr>
          <w:p w14:paraId="4B344C1C" w14:textId="2108066A" w:rsidR="00B14519" w:rsidRPr="00781112" w:rsidRDefault="00B14519" w:rsidP="00D62058">
            <w:pPr>
              <w:jc w:val="center"/>
              <w:rPr>
                <w:rFonts w:cs="Arial"/>
                <w:color w:val="000000" w:themeColor="text1"/>
                <w:szCs w:val="16"/>
              </w:rPr>
            </w:pPr>
            <w:r w:rsidRPr="00781112">
              <w:rPr>
                <w:rFonts w:cs="Arial"/>
                <w:color w:val="000000" w:themeColor="text1"/>
                <w:szCs w:val="16"/>
              </w:rPr>
              <w:t>8.00%</w:t>
            </w:r>
          </w:p>
        </w:tc>
        <w:tc>
          <w:tcPr>
            <w:tcW w:w="926" w:type="pct"/>
          </w:tcPr>
          <w:p w14:paraId="05700FA5" w14:textId="5CCD345F" w:rsidR="00B14519" w:rsidRPr="00781112" w:rsidRDefault="00B14519" w:rsidP="00D62058">
            <w:pPr>
              <w:jc w:val="center"/>
              <w:rPr>
                <w:rFonts w:cs="Arial"/>
                <w:color w:val="000000" w:themeColor="text1"/>
                <w:szCs w:val="16"/>
              </w:rPr>
            </w:pPr>
            <w:r w:rsidRPr="00781112">
              <w:rPr>
                <w:color w:val="000000" w:themeColor="text1"/>
                <w:szCs w:val="16"/>
              </w:rPr>
              <w:t>8.00%</w:t>
            </w:r>
          </w:p>
        </w:tc>
        <w:tc>
          <w:tcPr>
            <w:tcW w:w="926" w:type="pct"/>
          </w:tcPr>
          <w:p w14:paraId="3714E477" w14:textId="7A435890" w:rsidR="00B14519" w:rsidRPr="00781112" w:rsidRDefault="00B14519" w:rsidP="00D62058">
            <w:pPr>
              <w:jc w:val="center"/>
              <w:rPr>
                <w:rFonts w:cs="Arial"/>
                <w:color w:val="000000" w:themeColor="text1"/>
                <w:szCs w:val="16"/>
              </w:rPr>
            </w:pPr>
            <w:r w:rsidRPr="00781112">
              <w:rPr>
                <w:color w:val="000000" w:themeColor="text1"/>
                <w:szCs w:val="16"/>
              </w:rPr>
              <w:t>7.50%</w:t>
            </w:r>
          </w:p>
        </w:tc>
        <w:tc>
          <w:tcPr>
            <w:tcW w:w="926" w:type="pct"/>
          </w:tcPr>
          <w:p w14:paraId="378D738F" w14:textId="779494DE" w:rsidR="00B14519" w:rsidRPr="00781112" w:rsidRDefault="00B14519" w:rsidP="00D62058">
            <w:pPr>
              <w:jc w:val="center"/>
              <w:rPr>
                <w:rFonts w:cs="Arial"/>
                <w:color w:val="000000" w:themeColor="text1"/>
                <w:szCs w:val="16"/>
              </w:rPr>
            </w:pPr>
            <w:r w:rsidRPr="00781112">
              <w:rPr>
                <w:color w:val="000000" w:themeColor="text1"/>
                <w:szCs w:val="16"/>
              </w:rPr>
              <w:t>7.50%</w:t>
            </w:r>
          </w:p>
        </w:tc>
        <w:tc>
          <w:tcPr>
            <w:tcW w:w="926" w:type="pct"/>
          </w:tcPr>
          <w:p w14:paraId="489715FB" w14:textId="57B31F87" w:rsidR="00B14519" w:rsidRPr="00781112" w:rsidRDefault="00B14519" w:rsidP="00D62058">
            <w:pPr>
              <w:jc w:val="center"/>
              <w:rPr>
                <w:rFonts w:cs="Arial"/>
                <w:color w:val="000000" w:themeColor="text1"/>
                <w:szCs w:val="16"/>
              </w:rPr>
            </w:pPr>
            <w:r w:rsidRPr="00781112">
              <w:rPr>
                <w:color w:val="000000" w:themeColor="text1"/>
                <w:szCs w:val="16"/>
              </w:rPr>
              <w:t>6.65%</w:t>
            </w:r>
          </w:p>
        </w:tc>
      </w:tr>
      <w:tr w:rsidR="00B14519" w:rsidRPr="00781112" w14:paraId="1C671552" w14:textId="2F7800FB" w:rsidTr="00451D7E">
        <w:trPr>
          <w:trHeight w:val="270"/>
        </w:trPr>
        <w:tc>
          <w:tcPr>
            <w:tcW w:w="369" w:type="pct"/>
            <w:shd w:val="clear" w:color="auto" w:fill="auto"/>
            <w:vAlign w:val="center"/>
          </w:tcPr>
          <w:p w14:paraId="5D979A7F" w14:textId="57DEB4C1" w:rsidR="00B14519" w:rsidRPr="00781112" w:rsidRDefault="00B14519" w:rsidP="00D62058">
            <w:pPr>
              <w:rPr>
                <w:rFonts w:cs="Arial"/>
                <w:color w:val="000000" w:themeColor="text1"/>
                <w:szCs w:val="16"/>
              </w:rPr>
            </w:pPr>
            <w:r w:rsidRPr="00781112">
              <w:rPr>
                <w:rFonts w:cs="Arial"/>
                <w:color w:val="000000" w:themeColor="text1"/>
                <w:szCs w:val="16"/>
              </w:rPr>
              <w:t>Target C &lt;=</w:t>
            </w:r>
          </w:p>
        </w:tc>
        <w:tc>
          <w:tcPr>
            <w:tcW w:w="926" w:type="pct"/>
            <w:shd w:val="clear" w:color="auto" w:fill="auto"/>
            <w:vAlign w:val="center"/>
          </w:tcPr>
          <w:p w14:paraId="1C0EF441" w14:textId="373B29D8" w:rsidR="00B14519" w:rsidRPr="00781112" w:rsidRDefault="00B14519" w:rsidP="00D62058">
            <w:pPr>
              <w:jc w:val="center"/>
              <w:rPr>
                <w:rFonts w:cs="Arial"/>
                <w:color w:val="000000" w:themeColor="text1"/>
                <w:szCs w:val="16"/>
              </w:rPr>
            </w:pPr>
            <w:r w:rsidRPr="00781112">
              <w:rPr>
                <w:rFonts w:cs="Arial"/>
                <w:color w:val="000000" w:themeColor="text1"/>
                <w:szCs w:val="16"/>
              </w:rPr>
              <w:t>0.75%</w:t>
            </w:r>
          </w:p>
        </w:tc>
        <w:tc>
          <w:tcPr>
            <w:tcW w:w="926" w:type="pct"/>
          </w:tcPr>
          <w:p w14:paraId="29CA6903" w14:textId="7D992541" w:rsidR="00B14519" w:rsidRPr="00781112" w:rsidRDefault="00B14519" w:rsidP="00D62058">
            <w:pPr>
              <w:jc w:val="center"/>
              <w:rPr>
                <w:rFonts w:cs="Arial"/>
                <w:color w:val="000000" w:themeColor="text1"/>
                <w:szCs w:val="16"/>
              </w:rPr>
            </w:pPr>
            <w:r w:rsidRPr="00781112">
              <w:rPr>
                <w:color w:val="000000" w:themeColor="text1"/>
                <w:szCs w:val="16"/>
              </w:rPr>
              <w:t>0.73%</w:t>
            </w:r>
          </w:p>
        </w:tc>
        <w:tc>
          <w:tcPr>
            <w:tcW w:w="926" w:type="pct"/>
          </w:tcPr>
          <w:p w14:paraId="552B6B09" w14:textId="511FB8CF" w:rsidR="00B14519" w:rsidRPr="00781112" w:rsidRDefault="00B14519" w:rsidP="00D62058">
            <w:pPr>
              <w:jc w:val="center"/>
              <w:rPr>
                <w:rFonts w:cs="Arial"/>
                <w:color w:val="000000" w:themeColor="text1"/>
                <w:szCs w:val="16"/>
              </w:rPr>
            </w:pPr>
            <w:r w:rsidRPr="00781112">
              <w:rPr>
                <w:color w:val="000000" w:themeColor="text1"/>
                <w:szCs w:val="16"/>
              </w:rPr>
              <w:t>0.73%</w:t>
            </w:r>
          </w:p>
        </w:tc>
        <w:tc>
          <w:tcPr>
            <w:tcW w:w="926" w:type="pct"/>
          </w:tcPr>
          <w:p w14:paraId="7DB61507" w14:textId="60C3D8B8" w:rsidR="00B14519" w:rsidRPr="00781112" w:rsidRDefault="00B14519" w:rsidP="00D62058">
            <w:pPr>
              <w:jc w:val="center"/>
              <w:rPr>
                <w:rFonts w:cs="Arial"/>
                <w:color w:val="000000" w:themeColor="text1"/>
                <w:szCs w:val="16"/>
              </w:rPr>
            </w:pPr>
            <w:r w:rsidRPr="00781112">
              <w:rPr>
                <w:color w:val="000000" w:themeColor="text1"/>
                <w:szCs w:val="16"/>
              </w:rPr>
              <w:t>0.71%</w:t>
            </w:r>
          </w:p>
        </w:tc>
        <w:tc>
          <w:tcPr>
            <w:tcW w:w="926" w:type="pct"/>
          </w:tcPr>
          <w:p w14:paraId="4D51A8CD" w14:textId="32D58B55" w:rsidR="00B14519" w:rsidRPr="00781112" w:rsidRDefault="00B14519" w:rsidP="00D62058">
            <w:pPr>
              <w:jc w:val="center"/>
              <w:rPr>
                <w:rFonts w:cs="Arial"/>
                <w:color w:val="000000" w:themeColor="text1"/>
                <w:szCs w:val="16"/>
              </w:rPr>
            </w:pPr>
            <w:r w:rsidRPr="00781112">
              <w:rPr>
                <w:color w:val="000000" w:themeColor="text1"/>
                <w:szCs w:val="16"/>
              </w:rPr>
              <w:t>0.60%</w:t>
            </w:r>
          </w:p>
        </w:tc>
      </w:tr>
    </w:tbl>
    <w:p w14:paraId="7C8EA9A0" w14:textId="74543D19" w:rsidR="002D145D" w:rsidRPr="00781112" w:rsidRDefault="002D145D" w:rsidP="004369B2">
      <w:pPr>
        <w:rPr>
          <w:b/>
          <w:color w:val="000000" w:themeColor="text1"/>
        </w:rPr>
      </w:pPr>
      <w:r w:rsidRPr="00781112">
        <w:rPr>
          <w:b/>
          <w:color w:val="000000" w:themeColor="text1"/>
        </w:rPr>
        <w:t xml:space="preserve">Targets: Description of Stakeholder Input </w:t>
      </w:r>
    </w:p>
    <w:p w14:paraId="2B96DDD0" w14:textId="3E2ADE72" w:rsidR="002D145D" w:rsidRPr="00781112" w:rsidRDefault="00D60B5F" w:rsidP="002D145D">
      <w:pPr>
        <w:rPr>
          <w:rFonts w:cs="Arial"/>
          <w:color w:val="000000" w:themeColor="text1"/>
          <w:szCs w:val="16"/>
        </w:rPr>
      </w:pPr>
      <w:r w:rsidRPr="00781112">
        <w:rPr>
          <w:rFonts w:cs="Arial"/>
          <w:color w:val="000000" w:themeColor="text1"/>
          <w:szCs w:val="16"/>
        </w:rPr>
        <w:t>In FFY2020, OSEP rejected the baseline set by the state in consultation with stakeholders, requiring Oklahoma to set baseline to FFY2020 and revise the FFY2025 targets to align with baseline improvement. These changes were made without stakeholder involvement at the time.</w:t>
      </w:r>
      <w:r w:rsidRPr="00781112">
        <w:rPr>
          <w:rFonts w:cs="Arial"/>
          <w:color w:val="000000" w:themeColor="text1"/>
          <w:szCs w:val="16"/>
        </w:rPr>
        <w:br/>
      </w:r>
      <w:r w:rsidRPr="00781112">
        <w:rPr>
          <w:rFonts w:cs="Arial"/>
          <w:color w:val="000000" w:themeColor="text1"/>
          <w:szCs w:val="16"/>
        </w:rPr>
        <w:br/>
        <w:t>Since then, the state has engaged stakeholders about the revisions, and stakeholders shared no concerns with the mandated changes. The state held a stakeholder meeting to share SPP/APR updates, and more than 70 individuals representing LEAs, advocacy groups and agencies, and parents participated in the discussion. No one voiced concerns or challenged the baseline and target revisions for indicator 5. The original decision to align baseline values to FFY 2019 was made because the state and stakeholders worried that FFY 2020 posted anomalous data reflecting temporary pandemic placements that would return to pre-pandemic trends. Instead, the pandemic placements have held, and LRE rates have not shifted back to the lower rates of general education placement as shown prior to the pandemic.</w:t>
      </w:r>
    </w:p>
    <w:p w14:paraId="5251E1B0" w14:textId="77777777" w:rsidR="004A4803" w:rsidRPr="00781112" w:rsidRDefault="004A4803" w:rsidP="004369B2">
      <w:pPr>
        <w:rPr>
          <w:color w:val="000000" w:themeColor="text1"/>
        </w:rPr>
      </w:pPr>
    </w:p>
    <w:p w14:paraId="4D7BF763" w14:textId="45C93061" w:rsidR="00931A25" w:rsidRPr="00781112" w:rsidRDefault="00931A25"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7DC625CA" w14:textId="77777777" w:rsidTr="0033429D">
        <w:trPr>
          <w:trHeight w:val="372"/>
          <w:tblHeader/>
        </w:trPr>
        <w:tc>
          <w:tcPr>
            <w:tcW w:w="1207" w:type="pct"/>
            <w:shd w:val="clear" w:color="auto" w:fill="auto"/>
          </w:tcPr>
          <w:p w14:paraId="27CE7D2A"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lastRenderedPageBreak/>
              <w:t>Source</w:t>
            </w:r>
          </w:p>
        </w:tc>
        <w:tc>
          <w:tcPr>
            <w:tcW w:w="1376" w:type="pct"/>
            <w:shd w:val="clear" w:color="auto" w:fill="auto"/>
          </w:tcPr>
          <w:p w14:paraId="37A472D3"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shd w:val="clear" w:color="auto" w:fill="auto"/>
          </w:tcPr>
          <w:p w14:paraId="3AD5D5D4"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shd w:val="clear" w:color="auto" w:fill="auto"/>
          </w:tcPr>
          <w:p w14:paraId="3879034D"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701A6E97" w14:textId="77777777" w:rsidTr="00AB0D6A">
        <w:trPr>
          <w:trHeight w:val="380"/>
        </w:trPr>
        <w:tc>
          <w:tcPr>
            <w:tcW w:w="1207" w:type="pct"/>
            <w:shd w:val="clear" w:color="auto" w:fill="auto"/>
            <w:vAlign w:val="center"/>
          </w:tcPr>
          <w:p w14:paraId="35A4BC35" w14:textId="73E52F94" w:rsidR="003C1852" w:rsidRPr="00781112" w:rsidRDefault="002B7490">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14:paraId="0BD5009E" w14:textId="3A5F2E3D" w:rsidR="003C1852" w:rsidRPr="00781112" w:rsidRDefault="00FB785D">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14:paraId="05856C31" w14:textId="605373FB"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shd w:val="clear" w:color="auto" w:fill="auto"/>
            <w:vAlign w:val="center"/>
          </w:tcPr>
          <w:p w14:paraId="6A944F84" w14:textId="31582347" w:rsidR="003C1852" w:rsidRPr="00781112" w:rsidRDefault="002B7490" w:rsidP="00E0321D">
            <w:pPr>
              <w:jc w:val="center"/>
              <w:rPr>
                <w:rFonts w:cs="Arial"/>
                <w:color w:val="000000" w:themeColor="text1"/>
                <w:szCs w:val="16"/>
              </w:rPr>
            </w:pPr>
            <w:r w:rsidRPr="00781112">
              <w:rPr>
                <w:rFonts w:cs="Arial"/>
                <w:color w:val="000000" w:themeColor="text1"/>
                <w:szCs w:val="16"/>
              </w:rPr>
              <w:t>112,486</w:t>
            </w:r>
          </w:p>
        </w:tc>
      </w:tr>
      <w:tr w:rsidR="005C29F8" w:rsidRPr="00781112" w14:paraId="774B0393" w14:textId="77777777" w:rsidTr="00AB0D6A">
        <w:trPr>
          <w:trHeight w:val="380"/>
        </w:trPr>
        <w:tc>
          <w:tcPr>
            <w:tcW w:w="1207" w:type="pct"/>
            <w:shd w:val="clear" w:color="auto" w:fill="auto"/>
            <w:vAlign w:val="center"/>
          </w:tcPr>
          <w:p w14:paraId="41118E4B" w14:textId="707D9C2B" w:rsidR="008A3DC6" w:rsidRPr="00781112" w:rsidRDefault="00FB785D">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14:paraId="598C9B67" w14:textId="1DDD1ECD" w:rsidR="008A3DC6" w:rsidRPr="00781112" w:rsidRDefault="00FB785D">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14:paraId="02329530" w14:textId="7C955459"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shd w:val="clear" w:color="auto" w:fill="auto"/>
            <w:vAlign w:val="center"/>
          </w:tcPr>
          <w:p w14:paraId="699212F3" w14:textId="450EBDBF" w:rsidR="008A3DC6" w:rsidRPr="00781112" w:rsidRDefault="002B7490" w:rsidP="00E0321D">
            <w:pPr>
              <w:jc w:val="center"/>
              <w:rPr>
                <w:rFonts w:cs="Arial"/>
                <w:color w:val="000000" w:themeColor="text1"/>
                <w:szCs w:val="16"/>
              </w:rPr>
            </w:pPr>
            <w:r w:rsidRPr="00781112">
              <w:rPr>
                <w:rFonts w:cs="Arial"/>
                <w:color w:val="000000" w:themeColor="text1"/>
                <w:szCs w:val="16"/>
              </w:rPr>
              <w:t>85,099</w:t>
            </w:r>
          </w:p>
        </w:tc>
      </w:tr>
      <w:tr w:rsidR="005C29F8" w:rsidRPr="00781112" w14:paraId="1BE24412" w14:textId="77777777" w:rsidTr="00AB0D6A">
        <w:trPr>
          <w:trHeight w:val="380"/>
        </w:trPr>
        <w:tc>
          <w:tcPr>
            <w:tcW w:w="1207" w:type="pct"/>
            <w:shd w:val="clear" w:color="auto" w:fill="auto"/>
            <w:vAlign w:val="center"/>
          </w:tcPr>
          <w:p w14:paraId="13D524C0" w14:textId="46F357A5" w:rsidR="008A3DC6" w:rsidRPr="00781112" w:rsidRDefault="00FB785D">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14:paraId="72EFA773" w14:textId="00761F20" w:rsidR="008A3DC6" w:rsidRPr="00781112" w:rsidRDefault="00FB785D">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14:paraId="6EF7CE7A" w14:textId="07D1D751"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shd w:val="clear" w:color="auto" w:fill="auto"/>
            <w:vAlign w:val="center"/>
          </w:tcPr>
          <w:p w14:paraId="33B90725" w14:textId="1FBE54FE" w:rsidR="008A3DC6" w:rsidRPr="00781112" w:rsidRDefault="002B7490" w:rsidP="00E0321D">
            <w:pPr>
              <w:jc w:val="center"/>
              <w:rPr>
                <w:rFonts w:cs="Arial"/>
                <w:color w:val="000000" w:themeColor="text1"/>
                <w:szCs w:val="16"/>
              </w:rPr>
            </w:pPr>
            <w:r w:rsidRPr="00781112">
              <w:rPr>
                <w:rFonts w:cs="Arial"/>
                <w:color w:val="000000" w:themeColor="text1"/>
                <w:szCs w:val="16"/>
              </w:rPr>
              <w:t>7,549</w:t>
            </w:r>
          </w:p>
        </w:tc>
      </w:tr>
      <w:tr w:rsidR="005C29F8" w:rsidRPr="00781112" w14:paraId="17A5A2B3" w14:textId="77777777" w:rsidTr="00AB0D6A">
        <w:trPr>
          <w:trHeight w:val="380"/>
        </w:trPr>
        <w:tc>
          <w:tcPr>
            <w:tcW w:w="1207" w:type="pct"/>
            <w:shd w:val="clear" w:color="auto" w:fill="auto"/>
            <w:vAlign w:val="center"/>
          </w:tcPr>
          <w:p w14:paraId="525A2ED8" w14:textId="4E94BB5B" w:rsidR="008A3DC6" w:rsidRPr="00781112" w:rsidRDefault="00FB785D">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14:paraId="68C3F92C" w14:textId="3AE47CC2" w:rsidR="008A3DC6" w:rsidRPr="00781112" w:rsidRDefault="00FB785D">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14:paraId="413AEB9E" w14:textId="1B537E25"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shd w:val="clear" w:color="auto" w:fill="auto"/>
            <w:vAlign w:val="center"/>
          </w:tcPr>
          <w:p w14:paraId="0C6DF60D" w14:textId="1A57B1C5" w:rsidR="008A3DC6" w:rsidRPr="00781112" w:rsidRDefault="002B7490" w:rsidP="00E0321D">
            <w:pPr>
              <w:jc w:val="center"/>
              <w:rPr>
                <w:rFonts w:cs="Arial"/>
                <w:color w:val="000000" w:themeColor="text1"/>
                <w:szCs w:val="16"/>
              </w:rPr>
            </w:pPr>
            <w:r w:rsidRPr="00781112">
              <w:rPr>
                <w:rFonts w:cs="Arial"/>
                <w:color w:val="000000" w:themeColor="text1"/>
                <w:szCs w:val="16"/>
              </w:rPr>
              <w:t>53</w:t>
            </w:r>
          </w:p>
        </w:tc>
      </w:tr>
      <w:tr w:rsidR="005C29F8" w:rsidRPr="00781112" w14:paraId="7C327020" w14:textId="77777777" w:rsidTr="00AB0D6A">
        <w:trPr>
          <w:trHeight w:val="380"/>
        </w:trPr>
        <w:tc>
          <w:tcPr>
            <w:tcW w:w="1207" w:type="pct"/>
            <w:shd w:val="clear" w:color="auto" w:fill="auto"/>
            <w:vAlign w:val="center"/>
          </w:tcPr>
          <w:p w14:paraId="485F7D93" w14:textId="6A92F697" w:rsidR="008A3DC6" w:rsidRPr="00781112" w:rsidRDefault="00FB785D">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14:paraId="1261545C" w14:textId="230AF013" w:rsidR="008A3DC6" w:rsidRPr="00781112" w:rsidRDefault="00FB785D">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14:paraId="3AEE0CBD" w14:textId="6D1B0F8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shd w:val="clear" w:color="auto" w:fill="auto"/>
            <w:vAlign w:val="center"/>
          </w:tcPr>
          <w:p w14:paraId="596B74CB" w14:textId="6136D9E8" w:rsidR="008A3DC6" w:rsidRPr="00781112" w:rsidRDefault="002B7490" w:rsidP="00E0321D">
            <w:pPr>
              <w:jc w:val="center"/>
              <w:rPr>
                <w:rFonts w:cs="Arial"/>
                <w:color w:val="000000" w:themeColor="text1"/>
                <w:szCs w:val="16"/>
              </w:rPr>
            </w:pPr>
            <w:r w:rsidRPr="00781112">
              <w:rPr>
                <w:rFonts w:cs="Arial"/>
                <w:color w:val="000000" w:themeColor="text1"/>
                <w:szCs w:val="16"/>
              </w:rPr>
              <w:t>206</w:t>
            </w:r>
          </w:p>
        </w:tc>
      </w:tr>
      <w:tr w:rsidR="005C29F8" w:rsidRPr="00781112" w14:paraId="16FD0FC0" w14:textId="77777777" w:rsidTr="00AB0D6A">
        <w:trPr>
          <w:trHeight w:val="380"/>
        </w:trPr>
        <w:tc>
          <w:tcPr>
            <w:tcW w:w="1207" w:type="pct"/>
            <w:shd w:val="clear" w:color="auto" w:fill="auto"/>
            <w:vAlign w:val="center"/>
          </w:tcPr>
          <w:p w14:paraId="59885F77" w14:textId="75A8CDFC" w:rsidR="008A3DC6" w:rsidRPr="00781112" w:rsidRDefault="00FB785D">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14:paraId="5FC32D0C" w14:textId="67F32884" w:rsidR="008A3DC6" w:rsidRPr="00781112" w:rsidRDefault="00FB785D">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14:paraId="5DA416E0" w14:textId="4230AAA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shd w:val="clear" w:color="auto" w:fill="auto"/>
            <w:vAlign w:val="center"/>
          </w:tcPr>
          <w:p w14:paraId="7B0E7054" w14:textId="49D56445" w:rsidR="008A3DC6" w:rsidRPr="00781112" w:rsidRDefault="002B7490" w:rsidP="00E0321D">
            <w:pPr>
              <w:jc w:val="center"/>
              <w:rPr>
                <w:rFonts w:cs="Arial"/>
                <w:color w:val="000000" w:themeColor="text1"/>
                <w:szCs w:val="16"/>
              </w:rPr>
            </w:pPr>
            <w:r w:rsidRPr="00781112">
              <w:rPr>
                <w:rFonts w:cs="Arial"/>
                <w:color w:val="000000" w:themeColor="text1"/>
                <w:szCs w:val="16"/>
              </w:rPr>
              <w:t>344</w:t>
            </w:r>
          </w:p>
        </w:tc>
      </w:tr>
    </w:tbl>
    <w:p w14:paraId="5475FEBE" w14:textId="3E3663D3" w:rsidR="004A4803" w:rsidRPr="00781112" w:rsidRDefault="004A4803">
      <w:pPr>
        <w:rPr>
          <w:color w:val="000000" w:themeColor="text1"/>
        </w:rPr>
      </w:pPr>
    </w:p>
    <w:p w14:paraId="47A0647A" w14:textId="20BD9700" w:rsidR="00D60B5F" w:rsidRPr="00781112" w:rsidRDefault="00055C7A">
      <w:pPr>
        <w:rPr>
          <w:b/>
          <w:color w:val="000000" w:themeColor="text1"/>
        </w:rPr>
      </w:pPr>
      <w:r w:rsidRPr="00781112">
        <w:rPr>
          <w:b/>
          <w:color w:val="000000" w:themeColor="text1"/>
        </w:rPr>
        <w:t>Select yes if the data reported in this indicator are not the same as the State’s data reported under section 618 of the IDEA.</w:t>
      </w:r>
    </w:p>
    <w:p w14:paraId="7B71CB67" w14:textId="6BBC3C80" w:rsidR="00D60B5F" w:rsidRPr="00781112" w:rsidRDefault="00D60B5F">
      <w:pPr>
        <w:rPr>
          <w:color w:val="000000" w:themeColor="text1"/>
        </w:rPr>
      </w:pPr>
      <w:r w:rsidRPr="00781112">
        <w:rPr>
          <w:color w:val="000000" w:themeColor="text1"/>
        </w:rPr>
        <w:t>NO</w:t>
      </w:r>
    </w:p>
    <w:p w14:paraId="14F4B2C8" w14:textId="77777777" w:rsidR="0037431B" w:rsidRPr="00781112" w:rsidRDefault="0037431B" w:rsidP="004369B2">
      <w:pPr>
        <w:rPr>
          <w:color w:val="000000" w:themeColor="text1"/>
        </w:rPr>
      </w:pPr>
    </w:p>
    <w:p w14:paraId="7EFB6535" w14:textId="051974A1" w:rsidR="00805DD3" w:rsidRPr="00781112" w:rsidRDefault="0047313F">
      <w:pPr>
        <w:rPr>
          <w:b/>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740CBC" w:rsidRPr="00781112" w14:paraId="0324DF77" w14:textId="01438934" w:rsidTr="00360DD6">
        <w:trPr>
          <w:trHeight w:val="440"/>
          <w:tblHeader/>
        </w:trPr>
        <w:tc>
          <w:tcPr>
            <w:tcW w:w="1040" w:type="pct"/>
            <w:shd w:val="clear" w:color="auto" w:fill="auto"/>
            <w:vAlign w:val="bottom"/>
          </w:tcPr>
          <w:p w14:paraId="0D668D1B" w14:textId="6BB38C6B" w:rsidR="00740CBC" w:rsidRPr="00781112" w:rsidRDefault="00740CBC" w:rsidP="00740CBC">
            <w:pPr>
              <w:jc w:val="center"/>
              <w:rPr>
                <w:b/>
                <w:color w:val="000000" w:themeColor="text1"/>
              </w:rPr>
            </w:pPr>
            <w:r w:rsidRPr="00781112">
              <w:rPr>
                <w:b/>
                <w:color w:val="000000" w:themeColor="text1"/>
              </w:rPr>
              <w:t>Education Environments</w:t>
            </w:r>
          </w:p>
        </w:tc>
        <w:tc>
          <w:tcPr>
            <w:tcW w:w="646" w:type="pct"/>
            <w:shd w:val="clear" w:color="auto" w:fill="auto"/>
            <w:vAlign w:val="bottom"/>
          </w:tcPr>
          <w:p w14:paraId="323FF92F" w14:textId="6010A4DC" w:rsidR="00740CBC" w:rsidRPr="00781112" w:rsidRDefault="00740CBC" w:rsidP="00740CBC">
            <w:pPr>
              <w:jc w:val="center"/>
              <w:rPr>
                <w:b/>
                <w:color w:val="000000" w:themeColor="text1"/>
              </w:rPr>
            </w:pPr>
            <w:r w:rsidRPr="00781112">
              <w:rPr>
                <w:b/>
                <w:color w:val="000000" w:themeColor="text1"/>
              </w:rPr>
              <w:t xml:space="preserve">Number of children with IEPs aged </w:t>
            </w:r>
            <w:r w:rsidRPr="00781112">
              <w:rPr>
                <w:rFonts w:cs="Arial"/>
                <w:b/>
                <w:bCs/>
                <w:szCs w:val="16"/>
              </w:rPr>
              <w:t>5 (kindergarten)</w:t>
            </w:r>
            <w:r w:rsidRPr="00781112">
              <w:rPr>
                <w:b/>
                <w:color w:val="000000" w:themeColor="text1"/>
              </w:rPr>
              <w:t xml:space="preserve"> through 21 served</w:t>
            </w:r>
          </w:p>
        </w:tc>
        <w:tc>
          <w:tcPr>
            <w:tcW w:w="647" w:type="pct"/>
            <w:shd w:val="clear" w:color="auto" w:fill="auto"/>
            <w:vAlign w:val="bottom"/>
          </w:tcPr>
          <w:p w14:paraId="5B4758A3" w14:textId="799168FB" w:rsidR="00740CBC" w:rsidRPr="00781112" w:rsidRDefault="00740CBC" w:rsidP="00740CBC">
            <w:pPr>
              <w:jc w:val="center"/>
              <w:rPr>
                <w:b/>
                <w:color w:val="000000" w:themeColor="text1"/>
              </w:rPr>
            </w:pPr>
            <w:r w:rsidRPr="00781112">
              <w:rPr>
                <w:b/>
                <w:color w:val="000000" w:themeColor="text1"/>
              </w:rPr>
              <w:t xml:space="preserve">Total number of children with IEPs aged </w:t>
            </w:r>
            <w:r w:rsidRPr="00781112">
              <w:rPr>
                <w:rFonts w:cs="Arial"/>
                <w:b/>
                <w:bCs/>
                <w:szCs w:val="16"/>
              </w:rPr>
              <w:t>5 (kindergarten)</w:t>
            </w:r>
            <w:r w:rsidRPr="00781112">
              <w:rPr>
                <w:b/>
                <w:color w:val="000000" w:themeColor="text1"/>
              </w:rPr>
              <w:t xml:space="preserve"> through 21</w:t>
            </w:r>
          </w:p>
        </w:tc>
        <w:tc>
          <w:tcPr>
            <w:tcW w:w="533" w:type="pct"/>
            <w:shd w:val="clear" w:color="auto" w:fill="auto"/>
            <w:vAlign w:val="bottom"/>
          </w:tcPr>
          <w:p w14:paraId="5B2059E0" w14:textId="3C9C0574" w:rsidR="00740CBC" w:rsidRPr="00CC1061" w:rsidRDefault="00740CBC" w:rsidP="00740CBC">
            <w:pPr>
              <w:jc w:val="center"/>
              <w:rPr>
                <w:b/>
                <w:bCs/>
                <w:color w:val="000000" w:themeColor="text1"/>
              </w:rPr>
            </w:pPr>
            <w:r w:rsidRPr="00CC1061">
              <w:rPr>
                <w:b/>
                <w:bCs/>
              </w:rPr>
              <w:t>FFY 2020 Data</w:t>
            </w:r>
          </w:p>
        </w:tc>
        <w:tc>
          <w:tcPr>
            <w:tcW w:w="533" w:type="pct"/>
            <w:shd w:val="clear" w:color="auto" w:fill="auto"/>
            <w:vAlign w:val="bottom"/>
          </w:tcPr>
          <w:p w14:paraId="320127EA" w14:textId="4889F920" w:rsidR="00740CBC" w:rsidRPr="00CC1061" w:rsidRDefault="00740CBC" w:rsidP="00740CBC">
            <w:pPr>
              <w:jc w:val="center"/>
              <w:rPr>
                <w:b/>
                <w:bCs/>
                <w:color w:val="000000" w:themeColor="text1"/>
              </w:rPr>
            </w:pPr>
            <w:r w:rsidRPr="00CC1061">
              <w:rPr>
                <w:b/>
                <w:bCs/>
              </w:rPr>
              <w:t>FFY 2021 Target</w:t>
            </w:r>
          </w:p>
        </w:tc>
        <w:tc>
          <w:tcPr>
            <w:tcW w:w="533" w:type="pct"/>
            <w:shd w:val="clear" w:color="auto" w:fill="auto"/>
            <w:vAlign w:val="bottom"/>
          </w:tcPr>
          <w:p w14:paraId="150C2675" w14:textId="70270D20" w:rsidR="00740CBC" w:rsidRPr="00CC1061" w:rsidRDefault="00740CBC" w:rsidP="00740CBC">
            <w:pPr>
              <w:jc w:val="center"/>
              <w:rPr>
                <w:b/>
                <w:bCs/>
                <w:color w:val="000000" w:themeColor="text1"/>
              </w:rPr>
            </w:pPr>
            <w:r w:rsidRPr="00CC1061">
              <w:rPr>
                <w:b/>
                <w:bCs/>
              </w:rPr>
              <w:t>FFY 2021 Data</w:t>
            </w:r>
          </w:p>
        </w:tc>
        <w:tc>
          <w:tcPr>
            <w:tcW w:w="533" w:type="pct"/>
            <w:shd w:val="clear" w:color="auto" w:fill="auto"/>
            <w:vAlign w:val="bottom"/>
          </w:tcPr>
          <w:p w14:paraId="08F715E4" w14:textId="7BB096AF" w:rsidR="00740CBC" w:rsidRPr="00781112" w:rsidRDefault="00740CBC" w:rsidP="00740CBC">
            <w:pPr>
              <w:jc w:val="center"/>
              <w:rPr>
                <w:b/>
                <w:color w:val="000000" w:themeColor="text1"/>
              </w:rPr>
            </w:pPr>
            <w:r w:rsidRPr="00781112">
              <w:rPr>
                <w:b/>
                <w:color w:val="000000" w:themeColor="text1"/>
              </w:rPr>
              <w:t>Status</w:t>
            </w:r>
          </w:p>
        </w:tc>
        <w:tc>
          <w:tcPr>
            <w:tcW w:w="533" w:type="pct"/>
            <w:shd w:val="clear" w:color="auto" w:fill="auto"/>
            <w:vAlign w:val="bottom"/>
          </w:tcPr>
          <w:p w14:paraId="16F336C8" w14:textId="693FB9B1" w:rsidR="00740CBC" w:rsidRPr="00781112" w:rsidRDefault="00740CBC" w:rsidP="00740CBC">
            <w:pPr>
              <w:jc w:val="center"/>
              <w:rPr>
                <w:b/>
                <w:color w:val="000000" w:themeColor="text1"/>
              </w:rPr>
            </w:pPr>
            <w:r w:rsidRPr="00781112">
              <w:rPr>
                <w:b/>
                <w:color w:val="000000" w:themeColor="text1"/>
              </w:rPr>
              <w:t>Slippage</w:t>
            </w:r>
          </w:p>
        </w:tc>
      </w:tr>
      <w:tr w:rsidR="005C29F8" w:rsidRPr="00781112" w14:paraId="0CF0446C" w14:textId="0B89548D" w:rsidTr="00360DD6">
        <w:trPr>
          <w:trHeight w:val="361"/>
        </w:trPr>
        <w:tc>
          <w:tcPr>
            <w:tcW w:w="1040" w:type="pct"/>
            <w:shd w:val="clear" w:color="auto" w:fill="auto"/>
            <w:vAlign w:val="center"/>
          </w:tcPr>
          <w:p w14:paraId="389D79B9" w14:textId="5A7555F3"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shd w:val="clear" w:color="auto" w:fill="auto"/>
            <w:vAlign w:val="center"/>
          </w:tcPr>
          <w:p w14:paraId="0C538F78" w14:textId="211A39AD" w:rsidR="00631963" w:rsidRPr="00781112" w:rsidRDefault="002B7490" w:rsidP="00A018D4">
            <w:pPr>
              <w:jc w:val="center"/>
              <w:rPr>
                <w:rFonts w:cs="Arial"/>
                <w:color w:val="000000" w:themeColor="text1"/>
                <w:szCs w:val="16"/>
              </w:rPr>
            </w:pPr>
            <w:r w:rsidRPr="00781112">
              <w:rPr>
                <w:rFonts w:cs="Arial"/>
                <w:color w:val="000000" w:themeColor="text1"/>
                <w:szCs w:val="16"/>
              </w:rPr>
              <w:t>85,099</w:t>
            </w:r>
          </w:p>
        </w:tc>
        <w:tc>
          <w:tcPr>
            <w:tcW w:w="647" w:type="pct"/>
            <w:shd w:val="clear" w:color="auto" w:fill="auto"/>
            <w:vAlign w:val="center"/>
          </w:tcPr>
          <w:p w14:paraId="7CB3B03A" w14:textId="4A5E294F" w:rsidR="00631963" w:rsidRPr="00781112" w:rsidRDefault="002B7490" w:rsidP="00A018D4">
            <w:pPr>
              <w:jc w:val="center"/>
              <w:rPr>
                <w:rFonts w:cs="Arial"/>
                <w:color w:val="000000" w:themeColor="text1"/>
                <w:szCs w:val="16"/>
              </w:rPr>
            </w:pPr>
            <w:r w:rsidRPr="00781112">
              <w:rPr>
                <w:rFonts w:cs="Arial"/>
                <w:color w:val="000000" w:themeColor="text1"/>
                <w:szCs w:val="16"/>
              </w:rPr>
              <w:t>112,486</w:t>
            </w:r>
          </w:p>
        </w:tc>
        <w:tc>
          <w:tcPr>
            <w:tcW w:w="533" w:type="pct"/>
            <w:shd w:val="clear" w:color="auto" w:fill="auto"/>
            <w:vAlign w:val="center"/>
          </w:tcPr>
          <w:p w14:paraId="147CA5C5" w14:textId="139C91CB" w:rsidR="00631963" w:rsidRPr="00781112" w:rsidRDefault="002B7490" w:rsidP="00A018D4">
            <w:pPr>
              <w:jc w:val="center"/>
              <w:rPr>
                <w:rFonts w:cs="Arial"/>
                <w:color w:val="000000" w:themeColor="text1"/>
                <w:szCs w:val="16"/>
              </w:rPr>
            </w:pPr>
            <w:r w:rsidRPr="00781112">
              <w:rPr>
                <w:rFonts w:cs="Arial"/>
                <w:color w:val="000000" w:themeColor="text1"/>
                <w:szCs w:val="16"/>
              </w:rPr>
              <w:t>75.73%</w:t>
            </w:r>
          </w:p>
        </w:tc>
        <w:tc>
          <w:tcPr>
            <w:tcW w:w="533" w:type="pct"/>
            <w:shd w:val="clear" w:color="auto" w:fill="auto"/>
            <w:vAlign w:val="center"/>
          </w:tcPr>
          <w:p w14:paraId="497D8B9F" w14:textId="585C0A39" w:rsidR="00631963" w:rsidRPr="00781112" w:rsidRDefault="002B7490" w:rsidP="00A018D4">
            <w:pPr>
              <w:jc w:val="center"/>
              <w:rPr>
                <w:rFonts w:cs="Arial"/>
                <w:color w:val="000000" w:themeColor="text1"/>
                <w:szCs w:val="16"/>
              </w:rPr>
            </w:pPr>
            <w:r w:rsidRPr="00781112">
              <w:rPr>
                <w:rFonts w:cs="Arial"/>
                <w:color w:val="000000" w:themeColor="text1"/>
                <w:szCs w:val="16"/>
              </w:rPr>
              <w:t>71.50%</w:t>
            </w:r>
          </w:p>
        </w:tc>
        <w:tc>
          <w:tcPr>
            <w:tcW w:w="533" w:type="pct"/>
            <w:shd w:val="clear" w:color="auto" w:fill="auto"/>
            <w:vAlign w:val="center"/>
          </w:tcPr>
          <w:p w14:paraId="4B6AC9A3" w14:textId="0D7F6AEF" w:rsidR="00631963" w:rsidRPr="00781112" w:rsidRDefault="002B7490" w:rsidP="00A018D4">
            <w:pPr>
              <w:jc w:val="center"/>
              <w:rPr>
                <w:rFonts w:cs="Arial"/>
                <w:color w:val="000000" w:themeColor="text1"/>
                <w:szCs w:val="16"/>
              </w:rPr>
            </w:pPr>
            <w:r w:rsidRPr="00781112">
              <w:rPr>
                <w:rFonts w:cs="Arial"/>
                <w:color w:val="000000" w:themeColor="text1"/>
                <w:szCs w:val="16"/>
              </w:rPr>
              <w:t>75.65%</w:t>
            </w:r>
          </w:p>
        </w:tc>
        <w:tc>
          <w:tcPr>
            <w:tcW w:w="533" w:type="pct"/>
            <w:shd w:val="clear" w:color="auto" w:fill="auto"/>
            <w:vAlign w:val="center"/>
          </w:tcPr>
          <w:p w14:paraId="0D12A1DA" w14:textId="6C35FF67"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E7D658D" w14:textId="6E94158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FEF5E26" w14:textId="1BAD9686" w:rsidTr="00360DD6">
        <w:trPr>
          <w:trHeight w:val="361"/>
        </w:trPr>
        <w:tc>
          <w:tcPr>
            <w:tcW w:w="1040" w:type="pct"/>
            <w:shd w:val="clear" w:color="auto" w:fill="auto"/>
            <w:vAlign w:val="center"/>
          </w:tcPr>
          <w:p w14:paraId="787D8C24" w14:textId="626F335A"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shd w:val="clear" w:color="auto" w:fill="auto"/>
            <w:vAlign w:val="center"/>
          </w:tcPr>
          <w:p w14:paraId="03764807" w14:textId="322EE6A5" w:rsidR="00631963" w:rsidRPr="00781112" w:rsidRDefault="002B7490" w:rsidP="00A018D4">
            <w:pPr>
              <w:jc w:val="center"/>
              <w:rPr>
                <w:rFonts w:cs="Arial"/>
                <w:color w:val="000000" w:themeColor="text1"/>
                <w:szCs w:val="16"/>
              </w:rPr>
            </w:pPr>
            <w:r w:rsidRPr="00781112">
              <w:rPr>
                <w:rFonts w:cs="Arial"/>
                <w:color w:val="000000" w:themeColor="text1"/>
                <w:szCs w:val="16"/>
              </w:rPr>
              <w:t>7,549</w:t>
            </w:r>
          </w:p>
        </w:tc>
        <w:tc>
          <w:tcPr>
            <w:tcW w:w="647" w:type="pct"/>
            <w:shd w:val="clear" w:color="auto" w:fill="auto"/>
            <w:vAlign w:val="center"/>
          </w:tcPr>
          <w:p w14:paraId="6BB5ED43" w14:textId="72BAFF29" w:rsidR="00631963" w:rsidRPr="00781112" w:rsidRDefault="002B7490" w:rsidP="00A018D4">
            <w:pPr>
              <w:jc w:val="center"/>
              <w:rPr>
                <w:rFonts w:cs="Arial"/>
                <w:color w:val="000000" w:themeColor="text1"/>
                <w:szCs w:val="16"/>
              </w:rPr>
            </w:pPr>
            <w:r w:rsidRPr="00781112">
              <w:rPr>
                <w:rFonts w:cs="Arial"/>
                <w:color w:val="000000" w:themeColor="text1"/>
                <w:szCs w:val="16"/>
              </w:rPr>
              <w:t>112,486</w:t>
            </w:r>
          </w:p>
        </w:tc>
        <w:tc>
          <w:tcPr>
            <w:tcW w:w="533" w:type="pct"/>
            <w:shd w:val="clear" w:color="auto" w:fill="auto"/>
            <w:vAlign w:val="center"/>
          </w:tcPr>
          <w:p w14:paraId="3D5C1070" w14:textId="57DABC44" w:rsidR="00631963" w:rsidRPr="00781112" w:rsidRDefault="002B7490" w:rsidP="00A018D4">
            <w:pPr>
              <w:jc w:val="center"/>
              <w:rPr>
                <w:rFonts w:cs="Arial"/>
                <w:color w:val="000000" w:themeColor="text1"/>
                <w:szCs w:val="16"/>
              </w:rPr>
            </w:pPr>
            <w:r w:rsidRPr="00781112">
              <w:rPr>
                <w:rFonts w:cs="Arial"/>
                <w:color w:val="000000" w:themeColor="text1"/>
                <w:szCs w:val="16"/>
              </w:rPr>
              <w:t>6.68%</w:t>
            </w:r>
          </w:p>
        </w:tc>
        <w:tc>
          <w:tcPr>
            <w:tcW w:w="533" w:type="pct"/>
            <w:shd w:val="clear" w:color="auto" w:fill="auto"/>
            <w:vAlign w:val="center"/>
          </w:tcPr>
          <w:p w14:paraId="02F3CF00" w14:textId="6A81B00C" w:rsidR="00631963" w:rsidRPr="00781112" w:rsidRDefault="002B7490" w:rsidP="00A018D4">
            <w:pPr>
              <w:jc w:val="center"/>
              <w:rPr>
                <w:rFonts w:cs="Arial"/>
                <w:color w:val="000000" w:themeColor="text1"/>
                <w:szCs w:val="16"/>
              </w:rPr>
            </w:pPr>
            <w:r w:rsidRPr="00781112">
              <w:rPr>
                <w:rFonts w:cs="Arial"/>
                <w:color w:val="000000" w:themeColor="text1"/>
                <w:szCs w:val="16"/>
              </w:rPr>
              <w:t>8.00%</w:t>
            </w:r>
          </w:p>
        </w:tc>
        <w:tc>
          <w:tcPr>
            <w:tcW w:w="533" w:type="pct"/>
            <w:shd w:val="clear" w:color="auto" w:fill="auto"/>
            <w:vAlign w:val="center"/>
          </w:tcPr>
          <w:p w14:paraId="07434586" w14:textId="19522680" w:rsidR="00631963" w:rsidRPr="00781112" w:rsidRDefault="002B7490" w:rsidP="00A018D4">
            <w:pPr>
              <w:jc w:val="center"/>
              <w:rPr>
                <w:rFonts w:cs="Arial"/>
                <w:color w:val="000000" w:themeColor="text1"/>
                <w:szCs w:val="16"/>
              </w:rPr>
            </w:pPr>
            <w:r w:rsidRPr="00781112">
              <w:rPr>
                <w:rFonts w:cs="Arial"/>
                <w:color w:val="000000" w:themeColor="text1"/>
                <w:szCs w:val="16"/>
              </w:rPr>
              <w:t>6.71%</w:t>
            </w:r>
          </w:p>
        </w:tc>
        <w:tc>
          <w:tcPr>
            <w:tcW w:w="533" w:type="pct"/>
            <w:shd w:val="clear" w:color="auto" w:fill="auto"/>
            <w:vAlign w:val="center"/>
          </w:tcPr>
          <w:p w14:paraId="59BFCAE8" w14:textId="7F9BACFA"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6D7448AA" w14:textId="1247E0AB"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18A60D9F" w14:textId="211489DF" w:rsidTr="00360DD6">
        <w:trPr>
          <w:trHeight w:val="361"/>
        </w:trPr>
        <w:tc>
          <w:tcPr>
            <w:tcW w:w="1040" w:type="pct"/>
            <w:shd w:val="clear" w:color="auto" w:fill="auto"/>
            <w:vAlign w:val="center"/>
          </w:tcPr>
          <w:p w14:paraId="0B4BA19D" w14:textId="5F11E8FF"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shd w:val="clear" w:color="auto" w:fill="auto"/>
            <w:vAlign w:val="center"/>
          </w:tcPr>
          <w:p w14:paraId="6F83B928" w14:textId="3C12179B" w:rsidR="00631963" w:rsidRPr="00781112" w:rsidRDefault="002B7490" w:rsidP="00A018D4">
            <w:pPr>
              <w:jc w:val="center"/>
              <w:rPr>
                <w:rFonts w:cs="Arial"/>
                <w:color w:val="000000" w:themeColor="text1"/>
                <w:szCs w:val="16"/>
              </w:rPr>
            </w:pPr>
            <w:r w:rsidRPr="00781112">
              <w:rPr>
                <w:rFonts w:cs="Arial"/>
                <w:color w:val="000000" w:themeColor="text1"/>
                <w:szCs w:val="16"/>
              </w:rPr>
              <w:t>603</w:t>
            </w:r>
          </w:p>
        </w:tc>
        <w:tc>
          <w:tcPr>
            <w:tcW w:w="647" w:type="pct"/>
            <w:shd w:val="clear" w:color="auto" w:fill="auto"/>
            <w:vAlign w:val="center"/>
          </w:tcPr>
          <w:p w14:paraId="2B632B6B" w14:textId="0ADBABA1" w:rsidR="00631963" w:rsidRPr="00781112" w:rsidRDefault="002B7490" w:rsidP="00A018D4">
            <w:pPr>
              <w:jc w:val="center"/>
              <w:rPr>
                <w:rFonts w:cs="Arial"/>
                <w:color w:val="000000" w:themeColor="text1"/>
                <w:szCs w:val="16"/>
              </w:rPr>
            </w:pPr>
            <w:r w:rsidRPr="00781112">
              <w:rPr>
                <w:rFonts w:cs="Arial"/>
                <w:color w:val="000000" w:themeColor="text1"/>
                <w:szCs w:val="16"/>
              </w:rPr>
              <w:t>112,486</w:t>
            </w:r>
          </w:p>
        </w:tc>
        <w:tc>
          <w:tcPr>
            <w:tcW w:w="533" w:type="pct"/>
            <w:shd w:val="clear" w:color="auto" w:fill="auto"/>
            <w:vAlign w:val="center"/>
          </w:tcPr>
          <w:p w14:paraId="16857354" w14:textId="17E80039" w:rsidR="00631963" w:rsidRPr="00781112" w:rsidRDefault="002B7490" w:rsidP="00A018D4">
            <w:pPr>
              <w:jc w:val="center"/>
              <w:rPr>
                <w:rFonts w:cs="Arial"/>
                <w:color w:val="000000" w:themeColor="text1"/>
                <w:szCs w:val="16"/>
              </w:rPr>
            </w:pPr>
            <w:r w:rsidRPr="00781112">
              <w:rPr>
                <w:rFonts w:cs="Arial"/>
                <w:color w:val="000000" w:themeColor="text1"/>
                <w:szCs w:val="16"/>
              </w:rPr>
              <w:t>0.61%</w:t>
            </w:r>
          </w:p>
        </w:tc>
        <w:tc>
          <w:tcPr>
            <w:tcW w:w="533" w:type="pct"/>
            <w:shd w:val="clear" w:color="auto" w:fill="auto"/>
            <w:vAlign w:val="center"/>
          </w:tcPr>
          <w:p w14:paraId="10D1478E" w14:textId="0F36466F" w:rsidR="00631963" w:rsidRPr="00781112" w:rsidRDefault="002B7490" w:rsidP="00A018D4">
            <w:pPr>
              <w:jc w:val="center"/>
              <w:rPr>
                <w:rFonts w:cs="Arial"/>
                <w:color w:val="000000" w:themeColor="text1"/>
                <w:szCs w:val="16"/>
              </w:rPr>
            </w:pPr>
            <w:r w:rsidRPr="00781112">
              <w:rPr>
                <w:rFonts w:cs="Arial"/>
                <w:color w:val="000000" w:themeColor="text1"/>
                <w:szCs w:val="16"/>
              </w:rPr>
              <w:t>0.75%</w:t>
            </w:r>
          </w:p>
        </w:tc>
        <w:tc>
          <w:tcPr>
            <w:tcW w:w="533" w:type="pct"/>
            <w:shd w:val="clear" w:color="auto" w:fill="auto"/>
            <w:vAlign w:val="center"/>
          </w:tcPr>
          <w:p w14:paraId="2E9E2BFC" w14:textId="26FEF90C" w:rsidR="00631963" w:rsidRPr="00781112" w:rsidRDefault="002B7490" w:rsidP="00A018D4">
            <w:pPr>
              <w:jc w:val="center"/>
              <w:rPr>
                <w:rFonts w:cs="Arial"/>
                <w:color w:val="000000" w:themeColor="text1"/>
                <w:szCs w:val="16"/>
              </w:rPr>
            </w:pPr>
            <w:r w:rsidRPr="00781112">
              <w:rPr>
                <w:rFonts w:cs="Arial"/>
                <w:color w:val="000000" w:themeColor="text1"/>
                <w:szCs w:val="16"/>
              </w:rPr>
              <w:t>0.54%</w:t>
            </w:r>
          </w:p>
        </w:tc>
        <w:tc>
          <w:tcPr>
            <w:tcW w:w="533" w:type="pct"/>
            <w:shd w:val="clear" w:color="auto" w:fill="auto"/>
            <w:vAlign w:val="center"/>
          </w:tcPr>
          <w:p w14:paraId="5321D014" w14:textId="1EA51894"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BFA05A8" w14:textId="3EACA9B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073B208C" w14:textId="4B79EDF3" w:rsidR="006C575D" w:rsidRPr="00781112" w:rsidRDefault="006C575D" w:rsidP="004369B2">
      <w:pPr>
        <w:rPr>
          <w:b/>
          <w:color w:val="000000" w:themeColor="text1"/>
        </w:rPr>
      </w:pPr>
      <w:r w:rsidRPr="00781112">
        <w:rPr>
          <w:b/>
          <w:color w:val="000000" w:themeColor="text1"/>
        </w:rPr>
        <w:t>Provide additional information about this indicator (optional)</w:t>
      </w:r>
    </w:p>
    <w:p w14:paraId="2F810D98" w14:textId="08328771" w:rsidR="003C308E" w:rsidRPr="00781112" w:rsidRDefault="003C308E" w:rsidP="007D435F">
      <w:pPr>
        <w:rPr>
          <w:rFonts w:cs="Arial"/>
          <w:color w:val="000000" w:themeColor="text1"/>
          <w:szCs w:val="16"/>
        </w:rPr>
      </w:pPr>
    </w:p>
    <w:p w14:paraId="0B7E5CD7" w14:textId="77777777" w:rsidR="004A4803" w:rsidRPr="00781112" w:rsidRDefault="004A4803" w:rsidP="004369B2">
      <w:pPr>
        <w:rPr>
          <w:color w:val="000000" w:themeColor="text1"/>
        </w:rPr>
      </w:pPr>
    </w:p>
    <w:p w14:paraId="68DA7415" w14:textId="0FE711BA" w:rsidR="000A2C83" w:rsidRPr="00781112" w:rsidRDefault="007B5383" w:rsidP="008645AD">
      <w:pPr>
        <w:pStyle w:val="Heading2"/>
      </w:pPr>
      <w:r w:rsidRPr="00781112">
        <w:t>5</w:t>
      </w:r>
      <w:r w:rsidR="002203FA" w:rsidRPr="00781112">
        <w:t xml:space="preserve"> </w:t>
      </w:r>
      <w:r w:rsidRPr="00781112">
        <w:t xml:space="preserve">- </w:t>
      </w:r>
      <w:r w:rsidR="000A2C83" w:rsidRPr="00781112">
        <w:t>Prior FFY Required Actions</w:t>
      </w:r>
    </w:p>
    <w:p w14:paraId="2C73DADD" w14:textId="6039179B" w:rsidR="00163FA7" w:rsidRPr="00781112" w:rsidRDefault="002B7490" w:rsidP="000A2C83">
      <w:pPr>
        <w:rPr>
          <w:rFonts w:cs="Arial"/>
          <w:color w:val="000000" w:themeColor="text1"/>
          <w:szCs w:val="16"/>
        </w:rPr>
      </w:pPr>
      <w:r w:rsidRPr="00781112">
        <w:rPr>
          <w:rFonts w:cs="Arial"/>
          <w:color w:val="000000" w:themeColor="text1"/>
          <w:szCs w:val="16"/>
        </w:rPr>
        <w:t xml:space="preserve">In its FFY 2021 SPP/APR, the State must describe its stakeholder input process in setting the FFY 2020-2025 targets. </w:t>
      </w:r>
    </w:p>
    <w:p w14:paraId="7C18E8E7" w14:textId="02710B2C" w:rsidR="000A2C83" w:rsidRPr="00781112" w:rsidRDefault="007639D7" w:rsidP="004369B2">
      <w:pPr>
        <w:rPr>
          <w:b/>
          <w:bCs/>
          <w:color w:val="000000" w:themeColor="text1"/>
        </w:rPr>
      </w:pPr>
      <w:r>
        <w:rPr>
          <w:b/>
          <w:bCs/>
          <w:color w:val="000000" w:themeColor="text1"/>
        </w:rPr>
        <w:t>Response to actions required in FFY 2020 SPP/APR</w:t>
      </w:r>
    </w:p>
    <w:p w14:paraId="62ABD9E8" w14:textId="3AA4A0C2" w:rsidR="000A2C83" w:rsidRPr="00781112" w:rsidRDefault="002B7490" w:rsidP="000A2C83">
      <w:pPr>
        <w:rPr>
          <w:rFonts w:cs="Arial"/>
          <w:color w:val="000000" w:themeColor="text1"/>
          <w:szCs w:val="16"/>
        </w:rPr>
      </w:pPr>
      <w:r w:rsidRPr="00781112">
        <w:rPr>
          <w:rFonts w:cs="Arial"/>
          <w:color w:val="000000" w:themeColor="text1"/>
          <w:szCs w:val="16"/>
        </w:rPr>
        <w:t>The state has described its stakeholder input process in the "Targets" box in the prior section.</w:t>
      </w:r>
    </w:p>
    <w:p w14:paraId="30448C87" w14:textId="2E9FCBE3" w:rsidR="006C575D" w:rsidRPr="00781112" w:rsidRDefault="007B5383" w:rsidP="008645AD">
      <w:pPr>
        <w:pStyle w:val="Heading2"/>
      </w:pPr>
      <w:r w:rsidRPr="00781112">
        <w:t>5 - OSEP Response</w:t>
      </w:r>
    </w:p>
    <w:p w14:paraId="63E8B575" w14:textId="0FE467D2" w:rsidR="003C308E" w:rsidRPr="00781112" w:rsidRDefault="002B7490" w:rsidP="001F692C">
      <w:pPr>
        <w:rPr>
          <w:rFonts w:cs="Arial"/>
          <w:color w:val="000000" w:themeColor="text1"/>
          <w:szCs w:val="16"/>
        </w:rPr>
      </w:pPr>
      <w:r w:rsidRPr="00781112">
        <w:rPr>
          <w:rFonts w:cs="Arial"/>
          <w:color w:val="000000" w:themeColor="text1"/>
          <w:szCs w:val="16"/>
        </w:rPr>
        <w:t>The State provided FFY 2021 through FFY 2025 targets for this indicator, and OSEP accepts those targets.</w:t>
      </w:r>
    </w:p>
    <w:p w14:paraId="66CCD9C9" w14:textId="435D8999" w:rsidR="006C575D" w:rsidRPr="00781112" w:rsidRDefault="007B5383" w:rsidP="008645AD">
      <w:pPr>
        <w:pStyle w:val="Heading2"/>
      </w:pPr>
      <w:r w:rsidRPr="00781112">
        <w:lastRenderedPageBreak/>
        <w:t>5 - Required Actions</w:t>
      </w:r>
    </w:p>
    <w:p w14:paraId="140EB887" w14:textId="21164854" w:rsidR="003C308E" w:rsidRPr="00781112" w:rsidRDefault="003C308E" w:rsidP="001F692C">
      <w:pPr>
        <w:rPr>
          <w:rFonts w:cs="Arial"/>
          <w:color w:val="000000" w:themeColor="text1"/>
          <w:szCs w:val="16"/>
        </w:rPr>
      </w:pPr>
    </w:p>
    <w:p w14:paraId="0AFF9CFF"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5527AAE" w14:textId="1CCE2F0D" w:rsidR="00D21EAA" w:rsidRPr="00781112" w:rsidRDefault="00D21EAA" w:rsidP="000444E2">
      <w:pPr>
        <w:pStyle w:val="Heading1"/>
        <w:rPr>
          <w:color w:val="000000" w:themeColor="text1"/>
          <w:sz w:val="22"/>
        </w:rPr>
      </w:pPr>
      <w:r w:rsidRPr="00781112">
        <w:rPr>
          <w:color w:val="000000" w:themeColor="text1"/>
          <w:sz w:val="22"/>
        </w:rPr>
        <w:lastRenderedPageBreak/>
        <w:t>Indicator 6: Preschool Environments</w:t>
      </w:r>
    </w:p>
    <w:p w14:paraId="0EEB38B7" w14:textId="59C9FCA0" w:rsidR="00897094" w:rsidRPr="00781112" w:rsidRDefault="00897094" w:rsidP="00A018D4">
      <w:pPr>
        <w:rPr>
          <w:color w:val="000000" w:themeColor="text1"/>
          <w:szCs w:val="20"/>
        </w:rPr>
      </w:pPr>
      <w:bookmarkStart w:id="33" w:name="_Toc392159299"/>
      <w:r w:rsidRPr="00781112">
        <w:rPr>
          <w:b/>
          <w:color w:val="000000" w:themeColor="text1"/>
          <w:sz w:val="20"/>
          <w:szCs w:val="20"/>
        </w:rPr>
        <w:t>Instructions and Measurement</w:t>
      </w:r>
    </w:p>
    <w:p w14:paraId="38394246" w14:textId="27FF79AA"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07B041D6" w14:textId="3EA0507C"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0FDA7062" w14:textId="4CA83104" w:rsidR="00CC634E" w:rsidRPr="00781112" w:rsidRDefault="005F3399" w:rsidP="006A01BD">
      <w:pPr>
        <w:ind w:left="720"/>
        <w:rPr>
          <w:rFonts w:cs="Arial"/>
          <w:color w:val="000000" w:themeColor="text1"/>
          <w:szCs w:val="16"/>
        </w:rPr>
      </w:pPr>
      <w:r w:rsidRPr="00781112">
        <w:rPr>
          <w:rFonts w:cs="Arial"/>
          <w:color w:val="000000" w:themeColor="text1"/>
          <w:szCs w:val="16"/>
        </w:rPr>
        <w:t>A. Regular early childhood program and receiving the majority of special education and related services in the regular early childhood program; and</w:t>
      </w:r>
    </w:p>
    <w:p w14:paraId="4A161793" w14:textId="6574C625" w:rsidR="00CC634E" w:rsidRPr="00781112" w:rsidRDefault="005F3399" w:rsidP="006A01BD">
      <w:pPr>
        <w:ind w:firstLine="720"/>
        <w:rPr>
          <w:rFonts w:cs="Arial"/>
          <w:color w:val="000000" w:themeColor="text1"/>
          <w:szCs w:val="16"/>
        </w:rPr>
      </w:pPr>
      <w:r w:rsidRPr="00781112">
        <w:rPr>
          <w:rFonts w:cs="Arial"/>
          <w:color w:val="000000" w:themeColor="text1"/>
          <w:szCs w:val="16"/>
        </w:rPr>
        <w:t>B. Separate special education class, separate school or residential facility.</w:t>
      </w:r>
    </w:p>
    <w:p w14:paraId="797114DB" w14:textId="5A0252FB"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1AC955CF" w14:textId="38EDB6BF"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7FA9AD7" w14:textId="77777777" w:rsidR="005322B8" w:rsidRPr="00781112" w:rsidRDefault="005322B8" w:rsidP="004369B2">
      <w:pPr>
        <w:rPr>
          <w:color w:val="000000" w:themeColor="text1"/>
        </w:rPr>
      </w:pPr>
      <w:r w:rsidRPr="00781112">
        <w:rPr>
          <w:b/>
          <w:color w:val="000000" w:themeColor="text1"/>
        </w:rPr>
        <w:t>Data Source</w:t>
      </w:r>
    </w:p>
    <w:p w14:paraId="7412FE19" w14:textId="736BCFC9"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EDFacts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17AAF6AD" w14:textId="77777777" w:rsidR="005322B8" w:rsidRPr="00781112" w:rsidRDefault="005322B8" w:rsidP="004369B2">
      <w:pPr>
        <w:rPr>
          <w:color w:val="000000" w:themeColor="text1"/>
        </w:rPr>
      </w:pPr>
      <w:r w:rsidRPr="00781112">
        <w:rPr>
          <w:b/>
          <w:color w:val="000000" w:themeColor="text1"/>
        </w:rPr>
        <w:t>Measurement</w:t>
      </w:r>
    </w:p>
    <w:p w14:paraId="14C60C6A" w14:textId="3C4928BE"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xml:space="preserve"> = </w:t>
      </w:r>
      <w:r w:rsidR="00B2497F" w:rsidRPr="00781112">
        <w:rPr>
          <w:rFonts w:cs="Arial"/>
          <w:color w:val="000000" w:themeColor="text1"/>
          <w:szCs w:val="16"/>
          <w:shd w:val="clear" w:color="auto" w:fill="FFFFFF"/>
        </w:rPr>
        <w:t xml:space="preserve">[(# </w:t>
      </w:r>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the majority of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0CD6EF84" w14:textId="4020B61A"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school or residential facility)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48F03EFA" w14:textId="54A1E7EC"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14:paraId="2CAF467D" w14:textId="77777777" w:rsidR="005322B8" w:rsidRPr="00781112" w:rsidRDefault="005322B8" w:rsidP="004369B2">
      <w:pPr>
        <w:rPr>
          <w:color w:val="000000" w:themeColor="text1"/>
        </w:rPr>
      </w:pPr>
      <w:r w:rsidRPr="00781112">
        <w:rPr>
          <w:b/>
          <w:color w:val="000000" w:themeColor="text1"/>
        </w:rPr>
        <w:t>Instructions</w:t>
      </w:r>
    </w:p>
    <w:p w14:paraId="5B2FF157" w14:textId="6FABC6E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4451A4DB" w14:textId="77777777" w:rsidR="00426EC6" w:rsidRPr="00781112" w:rsidRDefault="00426EC6" w:rsidP="00426EC6">
      <w:pPr>
        <w:rPr>
          <w:rFonts w:cs="Arial"/>
          <w:szCs w:val="16"/>
        </w:rPr>
      </w:pPr>
      <w:r w:rsidRPr="00781112">
        <w:rPr>
          <w:rFonts w:cs="Arial"/>
          <w:szCs w:val="16"/>
        </w:rPr>
        <w:t>States must report five-year-old children with disabilities who are enrolled in preschool programs in this indicator. Five-year-old children with disabilities who are enrolled in kindergarten are included in Indicator 5.</w:t>
      </w:r>
    </w:p>
    <w:p w14:paraId="0B2E3F2D"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7F82A520"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594A7ED4" w14:textId="41F6D87D" w:rsidR="005322B8" w:rsidRPr="00781112" w:rsidRDefault="00633044" w:rsidP="00BB7BC9">
      <w:pPr>
        <w:rPr>
          <w:rFonts w:cs="Arial"/>
          <w:color w:val="000000" w:themeColor="text1"/>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r w:rsidR="005322B8" w:rsidRPr="00781112">
        <w:rPr>
          <w:rFonts w:cs="Arial"/>
          <w:color w:val="000000" w:themeColor="text1"/>
          <w:szCs w:val="16"/>
        </w:rPr>
        <w:t>Describe the results of the calculations and compare the results to the target.</w:t>
      </w:r>
    </w:p>
    <w:p w14:paraId="19F07E42" w14:textId="35DC1378" w:rsidR="005322B8" w:rsidRPr="00781112" w:rsidRDefault="005322B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33"/>
    <w:p w14:paraId="1489816D" w14:textId="2F10D57A" w:rsidR="008D3484" w:rsidRPr="00781112" w:rsidRDefault="00C96236" w:rsidP="008645AD">
      <w:pPr>
        <w:pStyle w:val="Heading2"/>
      </w:pPr>
      <w:r w:rsidRPr="00781112">
        <w:t>6</w:t>
      </w:r>
      <w:r w:rsidR="00C91B94" w:rsidRPr="00781112">
        <w:t xml:space="preserve"> </w:t>
      </w:r>
      <w:r w:rsidRPr="00781112">
        <w:t xml:space="preserve">- </w:t>
      </w:r>
      <w:r w:rsidR="008D3484" w:rsidRPr="00781112">
        <w:t>Indicator Data</w:t>
      </w:r>
    </w:p>
    <w:p w14:paraId="625E607A" w14:textId="77777777" w:rsidR="0091098C" w:rsidRPr="00781112" w:rsidRDefault="0091098C" w:rsidP="004369B2">
      <w:pPr>
        <w:rPr>
          <w:color w:val="000000" w:themeColor="text1"/>
        </w:rPr>
      </w:pPr>
      <w:r w:rsidRPr="00781112">
        <w:rPr>
          <w:b/>
          <w:color w:val="000000" w:themeColor="text1"/>
        </w:rPr>
        <w:t>Not Applicable</w:t>
      </w:r>
    </w:p>
    <w:p w14:paraId="5333465D" w14:textId="3F1EC485" w:rsidR="004B75EC" w:rsidRPr="00781112" w:rsidRDefault="003229FA">
      <w:pPr>
        <w:rPr>
          <w:b/>
          <w:color w:val="000000" w:themeColor="text1"/>
        </w:rPr>
      </w:pPr>
      <w:r w:rsidRPr="00781112">
        <w:rPr>
          <w:b/>
          <w:color w:val="000000" w:themeColor="text1"/>
        </w:rPr>
        <w:t xml:space="preserve">Select yes if this indicator is not applicable. </w:t>
      </w:r>
    </w:p>
    <w:p w14:paraId="2FEE6491" w14:textId="58E763AD" w:rsidR="00043AC9" w:rsidRPr="00781112" w:rsidRDefault="00043AC9" w:rsidP="004369B2">
      <w:pPr>
        <w:rPr>
          <w:rFonts w:cs="Arial"/>
          <w:color w:val="000000" w:themeColor="text1"/>
          <w:szCs w:val="16"/>
        </w:rPr>
      </w:pPr>
      <w:r w:rsidRPr="00781112">
        <w:rPr>
          <w:rFonts w:cs="Arial"/>
          <w:color w:val="000000" w:themeColor="text1"/>
          <w:szCs w:val="16"/>
        </w:rPr>
        <w:t>NO</w:t>
      </w:r>
    </w:p>
    <w:p w14:paraId="6D4C5D02" w14:textId="77777777" w:rsidR="002441FF" w:rsidRPr="00781112" w:rsidRDefault="002441FF" w:rsidP="002441FF">
      <w:pPr>
        <w:rPr>
          <w:color w:val="000000" w:themeColor="text1"/>
        </w:rPr>
      </w:pPr>
    </w:p>
    <w:p w14:paraId="2DFC3658" w14:textId="20467DA4" w:rsidR="006309D0" w:rsidRPr="00781112" w:rsidRDefault="006309D0" w:rsidP="006309D0">
      <w:pPr>
        <w:rPr>
          <w:b/>
          <w:color w:val="000000" w:themeColor="text1"/>
        </w:rPr>
      </w:pPr>
      <w:r w:rsidRPr="00781112">
        <w:rPr>
          <w:b/>
          <w:color w:val="000000" w:themeColor="text1"/>
        </w:rPr>
        <w:t>Historical Data – 6A, 6B</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10B8D4E0" w14:textId="65C4ABC5" w:rsidTr="005F5FE9">
        <w:trPr>
          <w:trHeight w:val="485"/>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D5DFCFC" w14:textId="199152DC"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195DB54"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shd w:val="clear" w:color="auto" w:fill="auto"/>
            <w:hideMark/>
          </w:tcPr>
          <w:p w14:paraId="6D0BD013" w14:textId="2E725702"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2016</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93A4955" w14:textId="7857A3E8"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2017</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1C44EE" w14:textId="0FBA6B8E"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2018</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38D2C75" w14:textId="09B1260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9EF8815" w14:textId="0E900FD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2020</w:t>
            </w:r>
          </w:p>
        </w:tc>
      </w:tr>
      <w:tr w:rsidR="001F2C34" w:rsidRPr="00781112" w14:paraId="12643853" w14:textId="714409A9"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1DCB50CC"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8A73" w14:textId="4E273194" w:rsidR="001F2C34" w:rsidRPr="00781112" w:rsidRDefault="001F2C34">
            <w:pPr>
              <w:spacing w:line="276" w:lineRule="auto"/>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D572D5A" w14:textId="187A2156" w:rsidR="001F2C34" w:rsidRPr="00781112" w:rsidRDefault="001F2C34" w:rsidP="00A018D4">
            <w:pPr>
              <w:jc w:val="center"/>
              <w:rPr>
                <w:rFonts w:cs="Arial"/>
                <w:color w:val="000000" w:themeColor="text1"/>
                <w:szCs w:val="16"/>
              </w:rPr>
            </w:pPr>
            <w:r w:rsidRPr="00781112">
              <w:rPr>
                <w:rFonts w:cs="Arial"/>
                <w:color w:val="000000" w:themeColor="text1"/>
                <w:szCs w:val="16"/>
              </w:rPr>
              <w:t>42.50%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473ABC9" w14:textId="69DF669C" w:rsidR="001F2C34" w:rsidRPr="00781112" w:rsidRDefault="001F2C34" w:rsidP="00A018D4">
            <w:pPr>
              <w:jc w:val="center"/>
              <w:rPr>
                <w:rFonts w:cs="Arial"/>
                <w:color w:val="000000" w:themeColor="text1"/>
                <w:szCs w:val="16"/>
              </w:rPr>
            </w:pPr>
            <w:r w:rsidRPr="00781112">
              <w:rPr>
                <w:rFonts w:cs="Arial"/>
                <w:color w:val="000000" w:themeColor="text1"/>
                <w:szCs w:val="16"/>
              </w:rPr>
              <w:t>43.00%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49232E9" w14:textId="6EBFCFBD" w:rsidR="001F2C34" w:rsidRPr="00781112" w:rsidRDefault="001F2C34" w:rsidP="00A018D4">
            <w:pPr>
              <w:jc w:val="center"/>
              <w:rPr>
                <w:rFonts w:cs="Arial"/>
                <w:color w:val="000000" w:themeColor="text1"/>
                <w:szCs w:val="16"/>
              </w:rPr>
            </w:pPr>
            <w:r w:rsidRPr="00781112">
              <w:rPr>
                <w:rFonts w:cs="Arial"/>
                <w:color w:val="000000" w:themeColor="text1"/>
                <w:szCs w:val="16"/>
              </w:rPr>
              <w:t>43.75%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7B7D5E8" w14:textId="6AF11356" w:rsidR="001F2C34" w:rsidRPr="00781112" w:rsidRDefault="001F2C34" w:rsidP="00A018D4">
            <w:pPr>
              <w:jc w:val="center"/>
              <w:rPr>
                <w:rFonts w:cs="Arial"/>
                <w:color w:val="000000" w:themeColor="text1"/>
                <w:szCs w:val="16"/>
              </w:rPr>
            </w:pPr>
            <w:r w:rsidRPr="00781112">
              <w:rPr>
                <w:rFonts w:cs="Arial"/>
                <w:color w:val="000000" w:themeColor="text1"/>
                <w:szCs w:val="16"/>
              </w:rPr>
              <w:t>43.75%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960723" w14:textId="6EE6EB41" w:rsidR="001F2C34" w:rsidRPr="00781112" w:rsidRDefault="001F2C34" w:rsidP="00A018D4">
            <w:pPr>
              <w:jc w:val="center"/>
              <w:rPr>
                <w:rFonts w:cs="Arial"/>
                <w:color w:val="000000" w:themeColor="text1"/>
                <w:szCs w:val="16"/>
              </w:rPr>
            </w:pPr>
            <w:r w:rsidRPr="00781112">
              <w:rPr>
                <w:rFonts w:cs="Arial"/>
                <w:color w:val="000000" w:themeColor="text1"/>
                <w:szCs w:val="16"/>
              </w:rPr>
              <w:t>35.50%</w:t>
            </w:r>
          </w:p>
        </w:tc>
      </w:tr>
      <w:tr w:rsidR="001F2C34" w:rsidRPr="00781112" w14:paraId="24AB409F" w14:textId="3963C8DA" w:rsidTr="005F5FE9">
        <w:trPr>
          <w:trHeight w:val="85"/>
        </w:trPr>
        <w:tc>
          <w:tcPr>
            <w:tcW w:w="625" w:type="dxa"/>
            <w:tcBorders>
              <w:left w:val="single" w:sz="4" w:space="0" w:color="auto"/>
              <w:right w:val="single" w:sz="4" w:space="0" w:color="auto"/>
            </w:tcBorders>
            <w:shd w:val="clear" w:color="auto" w:fill="auto"/>
            <w:vAlign w:val="center"/>
          </w:tcPr>
          <w:p w14:paraId="29D181B3" w14:textId="5F8E2E42"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FC6E" w14:textId="77777777" w:rsidR="001F2C34" w:rsidRPr="00781112" w:rsidRDefault="001F2C34">
            <w:pPr>
              <w:spacing w:line="276" w:lineRule="auto"/>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CB2CE2B" w14:textId="24BBB7A6" w:rsidR="001F2C34" w:rsidRPr="00781112" w:rsidRDefault="001F2C34" w:rsidP="00A018D4">
            <w:pPr>
              <w:jc w:val="center"/>
              <w:rPr>
                <w:rFonts w:cs="Arial"/>
                <w:color w:val="000000" w:themeColor="text1"/>
                <w:szCs w:val="16"/>
              </w:rPr>
            </w:pPr>
            <w:r w:rsidRPr="00781112">
              <w:rPr>
                <w:rFonts w:cs="Arial"/>
                <w:color w:val="000000" w:themeColor="text1"/>
                <w:szCs w:val="16"/>
              </w:rPr>
              <w:t>34.07%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29C2908" w14:textId="5081117A" w:rsidR="001F2C34" w:rsidRPr="00781112" w:rsidRDefault="001F2C34" w:rsidP="00A018D4">
            <w:pPr>
              <w:jc w:val="center"/>
              <w:rPr>
                <w:rFonts w:cs="Arial"/>
                <w:color w:val="000000" w:themeColor="text1"/>
                <w:szCs w:val="16"/>
              </w:rPr>
            </w:pPr>
            <w:r w:rsidRPr="00781112">
              <w:rPr>
                <w:rFonts w:cs="Arial"/>
                <w:color w:val="000000" w:themeColor="text1"/>
                <w:szCs w:val="16"/>
              </w:rPr>
              <w:t>32.54%</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BDED07A" w14:textId="02885BAD" w:rsidR="001F2C34" w:rsidRPr="00781112" w:rsidRDefault="001F2C34" w:rsidP="00A018D4">
            <w:pPr>
              <w:jc w:val="center"/>
              <w:rPr>
                <w:rFonts w:cs="Arial"/>
                <w:color w:val="000000" w:themeColor="text1"/>
                <w:szCs w:val="16"/>
              </w:rPr>
            </w:pPr>
            <w:r w:rsidRPr="00781112">
              <w:rPr>
                <w:rFonts w:cs="Arial"/>
                <w:color w:val="000000" w:themeColor="text1"/>
                <w:szCs w:val="16"/>
              </w:rPr>
              <w:t>32.76%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6DF0B77B" w14:textId="4431B3F8" w:rsidR="001F2C34" w:rsidRPr="00781112" w:rsidRDefault="001F2C34" w:rsidP="00A018D4">
            <w:pPr>
              <w:jc w:val="center"/>
              <w:rPr>
                <w:rFonts w:cs="Arial"/>
                <w:color w:val="000000" w:themeColor="text1"/>
                <w:szCs w:val="16"/>
              </w:rPr>
            </w:pPr>
            <w:r w:rsidRPr="00781112">
              <w:rPr>
                <w:rFonts w:cs="Arial"/>
                <w:color w:val="000000" w:themeColor="text1"/>
                <w:szCs w:val="16"/>
              </w:rPr>
              <w:t>34.76%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6BBCE63" w14:textId="41D20CCF" w:rsidR="001F2C34" w:rsidRPr="00781112" w:rsidRDefault="001F2C34" w:rsidP="00A018D4">
            <w:pPr>
              <w:jc w:val="center"/>
              <w:rPr>
                <w:rFonts w:cs="Arial"/>
                <w:color w:val="000000" w:themeColor="text1"/>
                <w:szCs w:val="16"/>
              </w:rPr>
            </w:pPr>
            <w:r w:rsidRPr="00781112">
              <w:rPr>
                <w:rFonts w:cs="Arial"/>
                <w:color w:val="000000" w:themeColor="text1"/>
                <w:szCs w:val="16"/>
              </w:rPr>
              <w:t>35.65%</w:t>
            </w:r>
          </w:p>
        </w:tc>
      </w:tr>
      <w:tr w:rsidR="001F2C34" w:rsidRPr="00781112" w14:paraId="734556E7" w14:textId="7880148D"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58DAD373"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70F3" w14:textId="4BE0D72F" w:rsidR="001F2C34" w:rsidRPr="00781112" w:rsidRDefault="001F2C34">
            <w:pPr>
              <w:spacing w:line="276" w:lineRule="auto"/>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AF8D8D8" w14:textId="73E1A0AF" w:rsidR="001F2C34" w:rsidRPr="00781112" w:rsidRDefault="001F2C34" w:rsidP="00A018D4">
            <w:pPr>
              <w:jc w:val="center"/>
              <w:rPr>
                <w:rFonts w:cs="Arial"/>
                <w:color w:val="000000" w:themeColor="text1"/>
                <w:szCs w:val="16"/>
              </w:rPr>
            </w:pPr>
            <w:r w:rsidRPr="00781112">
              <w:rPr>
                <w:rFonts w:cs="Arial"/>
                <w:color w:val="000000" w:themeColor="text1"/>
                <w:szCs w:val="16"/>
              </w:rPr>
              <w:t>17.00%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7A3A3A6" w14:textId="38FA47E9" w:rsidR="001F2C34" w:rsidRPr="00781112" w:rsidRDefault="001F2C34" w:rsidP="00A018D4">
            <w:pPr>
              <w:jc w:val="center"/>
              <w:rPr>
                <w:rFonts w:cs="Arial"/>
                <w:color w:val="000000" w:themeColor="text1"/>
                <w:szCs w:val="16"/>
              </w:rPr>
            </w:pPr>
            <w:r w:rsidRPr="00781112">
              <w:rPr>
                <w:rFonts w:cs="Arial"/>
                <w:color w:val="000000" w:themeColor="text1"/>
                <w:szCs w:val="16"/>
              </w:rPr>
              <w:t>16.50%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BC9CE3A" w14:textId="269EBDC7" w:rsidR="001F2C34" w:rsidRPr="00781112" w:rsidRDefault="001F2C34" w:rsidP="00A018D4">
            <w:pPr>
              <w:jc w:val="center"/>
              <w:rPr>
                <w:rFonts w:cs="Arial"/>
                <w:color w:val="000000" w:themeColor="text1"/>
                <w:szCs w:val="16"/>
              </w:rPr>
            </w:pPr>
            <w:r w:rsidRPr="00781112">
              <w:rPr>
                <w:rFonts w:cs="Arial"/>
                <w:color w:val="000000" w:themeColor="text1"/>
                <w:szCs w:val="16"/>
              </w:rPr>
              <w:t>16.00%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7F96662" w14:textId="3E673D09" w:rsidR="001F2C34" w:rsidRPr="00781112" w:rsidRDefault="001F2C34">
            <w:pPr>
              <w:jc w:val="center"/>
              <w:rPr>
                <w:color w:val="000000" w:themeColor="text1"/>
              </w:rPr>
            </w:pPr>
            <w:r w:rsidRPr="00781112">
              <w:rPr>
                <w:color w:val="000000" w:themeColor="text1"/>
              </w:rPr>
              <w:t>16.00%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5D972E0" w14:textId="0A302924" w:rsidR="001F2C34" w:rsidRPr="00781112" w:rsidRDefault="001F2C34" w:rsidP="00A018D4">
            <w:pPr>
              <w:jc w:val="center"/>
              <w:rPr>
                <w:rFonts w:cs="Arial"/>
                <w:color w:val="000000" w:themeColor="text1"/>
                <w:szCs w:val="16"/>
              </w:rPr>
            </w:pPr>
            <w:r w:rsidRPr="00781112">
              <w:rPr>
                <w:rFonts w:cs="Arial"/>
                <w:color w:val="000000" w:themeColor="text1"/>
                <w:szCs w:val="16"/>
              </w:rPr>
              <w:t>19.50%</w:t>
            </w:r>
          </w:p>
        </w:tc>
      </w:tr>
      <w:tr w:rsidR="001F2C34" w:rsidRPr="00781112" w14:paraId="3B42BE2A" w14:textId="601B062F" w:rsidTr="005F5FE9">
        <w:trPr>
          <w:trHeight w:val="85"/>
        </w:trPr>
        <w:tc>
          <w:tcPr>
            <w:tcW w:w="625" w:type="dxa"/>
            <w:tcBorders>
              <w:left w:val="single" w:sz="4" w:space="0" w:color="auto"/>
              <w:right w:val="single" w:sz="4" w:space="0" w:color="auto"/>
            </w:tcBorders>
            <w:shd w:val="clear" w:color="auto" w:fill="auto"/>
            <w:vAlign w:val="center"/>
          </w:tcPr>
          <w:p w14:paraId="4623D633" w14:textId="276C317C"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96DA" w14:textId="77777777" w:rsidR="001F2C34" w:rsidRPr="00781112" w:rsidRDefault="001F2C34">
            <w:pPr>
              <w:spacing w:line="276" w:lineRule="auto"/>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5D90031" w14:textId="3012CDE0" w:rsidR="001F2C34" w:rsidRPr="00781112" w:rsidRDefault="001F2C34" w:rsidP="00A018D4">
            <w:pPr>
              <w:jc w:val="center"/>
              <w:rPr>
                <w:rFonts w:cs="Arial"/>
                <w:color w:val="000000" w:themeColor="text1"/>
                <w:szCs w:val="16"/>
              </w:rPr>
            </w:pPr>
            <w:r w:rsidRPr="00781112">
              <w:rPr>
                <w:rFonts w:cs="Arial"/>
                <w:color w:val="000000" w:themeColor="text1"/>
                <w:szCs w:val="16"/>
              </w:rPr>
              <w:t>15.03%</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0E906DB" w14:textId="5C70E2DD" w:rsidR="001F2C34" w:rsidRPr="00781112" w:rsidRDefault="001F2C34" w:rsidP="00A018D4">
            <w:pPr>
              <w:jc w:val="center"/>
              <w:rPr>
                <w:rFonts w:cs="Arial"/>
                <w:color w:val="000000" w:themeColor="text1"/>
                <w:szCs w:val="16"/>
              </w:rPr>
            </w:pPr>
            <w:r w:rsidRPr="00781112">
              <w:rPr>
                <w:rFonts w:cs="Arial"/>
                <w:color w:val="000000" w:themeColor="text1"/>
                <w:szCs w:val="16"/>
              </w:rPr>
              <w:t>16.75%</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6B8DC18" w14:textId="71BC25FA" w:rsidR="001F2C34" w:rsidRPr="00781112" w:rsidRDefault="001F2C34" w:rsidP="00A018D4">
            <w:pPr>
              <w:jc w:val="center"/>
              <w:rPr>
                <w:rFonts w:cs="Arial"/>
                <w:color w:val="000000" w:themeColor="text1"/>
                <w:szCs w:val="16"/>
              </w:rPr>
            </w:pPr>
            <w:r w:rsidRPr="00781112">
              <w:rPr>
                <w:rFonts w:cs="Arial"/>
                <w:color w:val="000000" w:themeColor="text1"/>
                <w:szCs w:val="16"/>
              </w:rPr>
              <w:t>16.79%</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CE06B12" w14:textId="5A09E506" w:rsidR="001F2C34" w:rsidRPr="00781112" w:rsidRDefault="001F2C34" w:rsidP="00A018D4">
            <w:pPr>
              <w:jc w:val="center"/>
              <w:rPr>
                <w:rFonts w:cs="Arial"/>
                <w:color w:val="000000" w:themeColor="text1"/>
                <w:szCs w:val="16"/>
              </w:rPr>
            </w:pPr>
            <w:r w:rsidRPr="00781112">
              <w:rPr>
                <w:rFonts w:cs="Arial"/>
                <w:color w:val="000000" w:themeColor="text1"/>
                <w:szCs w:val="16"/>
              </w:rPr>
              <w:t>16.15%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8787007" w14:textId="48A40519" w:rsidR="001F2C34" w:rsidRPr="00781112" w:rsidRDefault="001F2C34" w:rsidP="00A018D4">
            <w:pPr>
              <w:jc w:val="center"/>
              <w:rPr>
                <w:rFonts w:cs="Arial"/>
                <w:color w:val="000000" w:themeColor="text1"/>
                <w:szCs w:val="16"/>
              </w:rPr>
            </w:pPr>
            <w:r w:rsidRPr="00781112">
              <w:rPr>
                <w:rFonts w:cs="Arial"/>
                <w:color w:val="000000" w:themeColor="text1"/>
                <w:szCs w:val="16"/>
              </w:rPr>
              <w:t>19.22%</w:t>
            </w:r>
          </w:p>
        </w:tc>
      </w:tr>
    </w:tbl>
    <w:p w14:paraId="1E340B65" w14:textId="749176D6" w:rsidR="001C2B29" w:rsidRPr="00781112" w:rsidRDefault="001C2B29" w:rsidP="004369B2">
      <w:pPr>
        <w:rPr>
          <w:color w:val="000000" w:themeColor="text1"/>
        </w:rPr>
      </w:pPr>
    </w:p>
    <w:p w14:paraId="34B0E047" w14:textId="77777777" w:rsidR="0059735F" w:rsidRPr="00781112" w:rsidRDefault="0059735F" w:rsidP="0059735F">
      <w:pPr>
        <w:rPr>
          <w:b/>
          <w:color w:val="000000" w:themeColor="text1"/>
        </w:rPr>
      </w:pPr>
      <w:r w:rsidRPr="00781112">
        <w:rPr>
          <w:b/>
          <w:color w:val="000000" w:themeColor="text1"/>
        </w:rPr>
        <w:t xml:space="preserve">Targets: Description of Stakeholder Input </w:t>
      </w:r>
    </w:p>
    <w:p w14:paraId="137AAC0F" w14:textId="77777777" w:rsidR="0059735F" w:rsidRPr="00781112" w:rsidRDefault="0059735F" w:rsidP="0059735F">
      <w:pPr>
        <w:rPr>
          <w:rFonts w:cs="Arial"/>
          <w:color w:val="000000" w:themeColor="text1"/>
          <w:szCs w:val="16"/>
        </w:rPr>
      </w:pPr>
    </w:p>
    <w:p w14:paraId="0B88D679" w14:textId="77777777" w:rsidR="0059735F" w:rsidRPr="00781112" w:rsidRDefault="0059735F" w:rsidP="004369B2">
      <w:pPr>
        <w:rPr>
          <w:color w:val="000000" w:themeColor="text1"/>
        </w:rPr>
      </w:pPr>
    </w:p>
    <w:p w14:paraId="5CC249BC" w14:textId="12B8F79F" w:rsidR="00AA04BD" w:rsidRPr="00781112" w:rsidRDefault="00AA04BD" w:rsidP="004369B2">
      <w:pPr>
        <w:rPr>
          <w:b/>
          <w:color w:val="000000" w:themeColor="text1"/>
        </w:rPr>
      </w:pPr>
      <w:r w:rsidRPr="00781112">
        <w:rPr>
          <w:b/>
          <w:color w:val="000000" w:themeColor="text1"/>
        </w:rPr>
        <w:t>Targets</w:t>
      </w:r>
    </w:p>
    <w:p w14:paraId="1C259A9C" w14:textId="233315C1" w:rsidR="001C2B29" w:rsidRPr="001C443D" w:rsidRDefault="007F67C7" w:rsidP="001C443D">
      <w:pPr>
        <w:rPr>
          <w:b/>
          <w:bCs/>
        </w:rPr>
      </w:pPr>
      <w:r w:rsidRPr="001C443D">
        <w:rPr>
          <w:b/>
          <w:bCs/>
        </w:rPr>
        <w:t xml:space="preserve">Please select if the State wants to set baseline and targets based on individual age ranges (i.e. separate baseline and targets for each age), or inclusive of all children ages 3, 4, and 5. </w:t>
      </w:r>
    </w:p>
    <w:p w14:paraId="0237921B" w14:textId="17150ECF" w:rsidR="00794672" w:rsidRPr="00781112" w:rsidRDefault="00794672" w:rsidP="00794672">
      <w:pPr>
        <w:rPr>
          <w:color w:val="000000" w:themeColor="text1"/>
        </w:rPr>
      </w:pPr>
      <w:r w:rsidRPr="00781112">
        <w:rPr>
          <w:rFonts w:cs="Arial"/>
          <w:color w:val="000000" w:themeColor="text1"/>
          <w:szCs w:val="16"/>
        </w:rPr>
        <w:t>Inclusive Targets</w:t>
      </w:r>
    </w:p>
    <w:p w14:paraId="647A8A68" w14:textId="7712D124" w:rsidR="00794672" w:rsidRPr="001C443D" w:rsidRDefault="00E20E93" w:rsidP="001C443D">
      <w:pPr>
        <w:rPr>
          <w:b/>
          <w:bCs/>
        </w:rPr>
      </w:pPr>
      <w:r w:rsidRPr="001C443D">
        <w:rPr>
          <w:b/>
          <w:bCs/>
        </w:rPr>
        <w:t>Please select if the State wants to use target ranges for 6C.</w:t>
      </w:r>
    </w:p>
    <w:p w14:paraId="4C1CAE3E" w14:textId="29D1D533" w:rsidR="00794672" w:rsidRDefault="00794672" w:rsidP="00794672">
      <w:pPr>
        <w:rPr>
          <w:rFonts w:cs="Arial"/>
          <w:color w:val="000000" w:themeColor="text1"/>
          <w:szCs w:val="16"/>
        </w:rPr>
      </w:pPr>
      <w:r w:rsidRPr="00781112">
        <w:rPr>
          <w:rFonts w:cs="Arial"/>
          <w:color w:val="000000" w:themeColor="text1"/>
          <w:szCs w:val="16"/>
        </w:rPr>
        <w:t>Target Range not used</w:t>
      </w:r>
    </w:p>
    <w:p w14:paraId="5C7F1365" w14:textId="570192EE" w:rsidR="0073461B" w:rsidRDefault="0073461B" w:rsidP="0073461B">
      <w:pPr>
        <w:pStyle w:val="Subhed"/>
        <w:rPr>
          <w:b w:val="0"/>
          <w:bCs/>
          <w:color w:val="C00000"/>
        </w:rPr>
      </w:pPr>
    </w:p>
    <w:p w14:paraId="770D6443" w14:textId="39B3F3FD" w:rsidR="004D796B" w:rsidRPr="00781112" w:rsidRDefault="004D796B" w:rsidP="004369B2">
      <w:pPr>
        <w:rPr>
          <w:color w:val="000000" w:themeColor="text1"/>
        </w:rPr>
      </w:pPr>
    </w:p>
    <w:p w14:paraId="7D77C5FC" w14:textId="77777777" w:rsidR="008C34A2" w:rsidRPr="0075451F" w:rsidRDefault="008C34A2" w:rsidP="008C34A2">
      <w:pPr>
        <w:pStyle w:val="Subhed"/>
        <w:rPr>
          <w:b w:val="0"/>
        </w:rPr>
      </w:pPr>
      <w:r>
        <w:lastRenderedPageBreak/>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76A746DF"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shd w:val="clear" w:color="auto" w:fill="auto"/>
          </w:tcPr>
          <w:p w14:paraId="76F354A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70043BB3"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Year</w:t>
            </w:r>
          </w:p>
        </w:tc>
        <w:tc>
          <w:tcPr>
            <w:tcW w:w="2025" w:type="dxa"/>
            <w:tcBorders>
              <w:top w:val="single" w:sz="4" w:space="0" w:color="auto"/>
              <w:left w:val="single" w:sz="4" w:space="0" w:color="auto"/>
              <w:bottom w:val="single" w:sz="4" w:space="0" w:color="auto"/>
              <w:right w:val="single" w:sz="4" w:space="0" w:color="auto"/>
            </w:tcBorders>
          </w:tcPr>
          <w:p w14:paraId="6D732D8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3EC108E9"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A56D253"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shd w:val="clear" w:color="auto" w:fill="auto"/>
          </w:tcPr>
          <w:p w14:paraId="3FCF70A0"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142085F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35.65%</w:t>
            </w:r>
          </w:p>
        </w:tc>
      </w:tr>
      <w:tr w:rsidR="008C34A2" w:rsidRPr="00781112" w14:paraId="6C0A9325"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E7FAFD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shd w:val="clear" w:color="auto" w:fill="auto"/>
          </w:tcPr>
          <w:p w14:paraId="538A3CE6"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794F234F"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19.22%</w:t>
            </w:r>
          </w:p>
        </w:tc>
      </w:tr>
      <w:tr w:rsidR="008C34A2" w:rsidRPr="00781112" w14:paraId="2DFA9728" w14:textId="77777777" w:rsidTr="00DF5DC9">
        <w:trPr>
          <w:trHeight w:val="85"/>
        </w:trPr>
        <w:tc>
          <w:tcPr>
            <w:tcW w:w="1436" w:type="dxa"/>
            <w:tcBorders>
              <w:left w:val="single" w:sz="4" w:space="0" w:color="auto"/>
              <w:right w:val="single" w:sz="4" w:space="0" w:color="auto"/>
            </w:tcBorders>
            <w:shd w:val="clear" w:color="auto" w:fill="auto"/>
            <w:vAlign w:val="center"/>
          </w:tcPr>
          <w:p w14:paraId="6CBBDF9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shd w:val="clear" w:color="auto" w:fill="auto"/>
          </w:tcPr>
          <w:p w14:paraId="7E7E5689"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4FCAB124"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1.02%</w:t>
            </w:r>
          </w:p>
        </w:tc>
      </w:tr>
    </w:tbl>
    <w:p w14:paraId="3CB9A2A8" w14:textId="77777777" w:rsidR="008C34A2" w:rsidRPr="00992ACE" w:rsidRDefault="008C34A2" w:rsidP="00992ACE">
      <w:pPr>
        <w:rPr>
          <w:rFonts w:cs="Arial"/>
          <w:color w:val="000000" w:themeColor="text1"/>
          <w:szCs w:val="16"/>
        </w:rPr>
      </w:pPr>
    </w:p>
    <w:p w14:paraId="47A40AAD" w14:textId="088A53BD" w:rsidR="0059735F" w:rsidRPr="00781112" w:rsidRDefault="0059735F" w:rsidP="0059735F">
      <w:pPr>
        <w:rPr>
          <w:b/>
          <w:bCs/>
          <w:color w:val="000000" w:themeColor="text1"/>
        </w:rPr>
      </w:pPr>
      <w:r w:rsidRPr="00781112">
        <w:rPr>
          <w:b/>
          <w:bCs/>
        </w:rPr>
        <w:t>Inclusive Targets – 6A, 6B</w:t>
      </w:r>
    </w:p>
    <w:tbl>
      <w:tblPr>
        <w:tblW w:w="4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6"/>
        <w:gridCol w:w="1617"/>
        <w:gridCol w:w="1617"/>
        <w:gridCol w:w="1621"/>
        <w:gridCol w:w="1619"/>
        <w:gridCol w:w="1619"/>
      </w:tblGrid>
      <w:tr w:rsidR="00B14519" w:rsidRPr="00781112" w14:paraId="502A05CF" w14:textId="31F34C5E" w:rsidTr="00451D7E">
        <w:trPr>
          <w:trHeight w:val="297"/>
        </w:trPr>
        <w:tc>
          <w:tcPr>
            <w:tcW w:w="586" w:type="pct"/>
            <w:tcBorders>
              <w:bottom w:val="single" w:sz="4" w:space="0" w:color="auto"/>
            </w:tcBorders>
            <w:shd w:val="clear" w:color="auto" w:fill="auto"/>
          </w:tcPr>
          <w:p w14:paraId="24938C30" w14:textId="77777777" w:rsidR="00B14519" w:rsidRPr="00781112" w:rsidRDefault="00B14519" w:rsidP="00D62058">
            <w:pPr>
              <w:jc w:val="center"/>
              <w:rPr>
                <w:b/>
                <w:color w:val="000000" w:themeColor="text1"/>
              </w:rPr>
            </w:pPr>
            <w:r w:rsidRPr="00781112">
              <w:rPr>
                <w:b/>
                <w:color w:val="000000" w:themeColor="text1"/>
              </w:rPr>
              <w:t>FFY</w:t>
            </w:r>
          </w:p>
        </w:tc>
        <w:tc>
          <w:tcPr>
            <w:tcW w:w="882" w:type="pct"/>
            <w:shd w:val="clear" w:color="auto" w:fill="auto"/>
          </w:tcPr>
          <w:p w14:paraId="4B75D90A" w14:textId="04FBCB48" w:rsidR="00B14519" w:rsidRPr="00781112" w:rsidRDefault="00B14519" w:rsidP="00D62058">
            <w:pPr>
              <w:jc w:val="center"/>
              <w:rPr>
                <w:b/>
                <w:color w:val="000000" w:themeColor="text1"/>
              </w:rPr>
            </w:pPr>
            <w:r w:rsidRPr="00781112">
              <w:rPr>
                <w:b/>
                <w:color w:val="000000" w:themeColor="text1"/>
              </w:rPr>
              <w:t>2021</w:t>
            </w:r>
          </w:p>
        </w:tc>
        <w:tc>
          <w:tcPr>
            <w:tcW w:w="882" w:type="pct"/>
          </w:tcPr>
          <w:p w14:paraId="5DC58FF5" w14:textId="7CBB0832" w:rsidR="00B14519" w:rsidRPr="00781112" w:rsidRDefault="00B14519" w:rsidP="00360DD6">
            <w:pPr>
              <w:jc w:val="center"/>
              <w:rPr>
                <w:b/>
                <w:color w:val="000000" w:themeColor="text1"/>
              </w:rPr>
            </w:pPr>
            <w:r w:rsidRPr="00781112">
              <w:rPr>
                <w:b/>
                <w:color w:val="000000" w:themeColor="text1"/>
              </w:rPr>
              <w:t>2022</w:t>
            </w:r>
          </w:p>
        </w:tc>
        <w:tc>
          <w:tcPr>
            <w:tcW w:w="884" w:type="pct"/>
          </w:tcPr>
          <w:p w14:paraId="7F3093B9" w14:textId="2E366C4A" w:rsidR="00B14519" w:rsidRPr="00781112" w:rsidRDefault="00B14519" w:rsidP="00360DD6">
            <w:pPr>
              <w:jc w:val="center"/>
              <w:rPr>
                <w:b/>
                <w:color w:val="000000" w:themeColor="text1"/>
              </w:rPr>
            </w:pPr>
            <w:r w:rsidRPr="00781112">
              <w:rPr>
                <w:b/>
                <w:color w:val="000000" w:themeColor="text1"/>
              </w:rPr>
              <w:t>2023</w:t>
            </w:r>
          </w:p>
        </w:tc>
        <w:tc>
          <w:tcPr>
            <w:tcW w:w="883" w:type="pct"/>
          </w:tcPr>
          <w:p w14:paraId="05A02BBA" w14:textId="78E50BC0" w:rsidR="00B14519" w:rsidRPr="00781112" w:rsidRDefault="00B14519" w:rsidP="00360DD6">
            <w:pPr>
              <w:jc w:val="center"/>
              <w:rPr>
                <w:b/>
                <w:color w:val="000000" w:themeColor="text1"/>
              </w:rPr>
            </w:pPr>
            <w:r w:rsidRPr="00781112">
              <w:rPr>
                <w:b/>
                <w:color w:val="000000" w:themeColor="text1"/>
              </w:rPr>
              <w:t>2024</w:t>
            </w:r>
          </w:p>
        </w:tc>
        <w:tc>
          <w:tcPr>
            <w:tcW w:w="883" w:type="pct"/>
          </w:tcPr>
          <w:p w14:paraId="6CBA3A70" w14:textId="0600BFC9" w:rsidR="00B14519" w:rsidRPr="00781112" w:rsidRDefault="00B14519" w:rsidP="00360DD6">
            <w:pPr>
              <w:jc w:val="center"/>
              <w:rPr>
                <w:b/>
                <w:color w:val="000000" w:themeColor="text1"/>
              </w:rPr>
            </w:pPr>
            <w:r w:rsidRPr="00781112">
              <w:rPr>
                <w:b/>
                <w:color w:val="000000" w:themeColor="text1"/>
              </w:rPr>
              <w:t>2025</w:t>
            </w:r>
          </w:p>
        </w:tc>
      </w:tr>
      <w:tr w:rsidR="00B14519" w:rsidRPr="00781112" w14:paraId="19DCE246" w14:textId="1AEE89BD" w:rsidTr="00451D7E">
        <w:trPr>
          <w:trHeight w:val="303"/>
        </w:trPr>
        <w:tc>
          <w:tcPr>
            <w:tcW w:w="586" w:type="pct"/>
            <w:shd w:val="clear" w:color="auto" w:fill="auto"/>
            <w:vAlign w:val="center"/>
          </w:tcPr>
          <w:p w14:paraId="772DAD56" w14:textId="1540F97B" w:rsidR="00B14519" w:rsidRPr="00781112" w:rsidRDefault="00B14519" w:rsidP="00D62058">
            <w:pPr>
              <w:rPr>
                <w:rFonts w:cs="Arial"/>
                <w:color w:val="000000" w:themeColor="text1"/>
                <w:szCs w:val="16"/>
              </w:rPr>
            </w:pPr>
            <w:r w:rsidRPr="00781112">
              <w:rPr>
                <w:rFonts w:cs="Arial"/>
                <w:color w:val="000000" w:themeColor="text1"/>
                <w:szCs w:val="16"/>
              </w:rPr>
              <w:t>Target A &gt;=</w:t>
            </w:r>
          </w:p>
        </w:tc>
        <w:tc>
          <w:tcPr>
            <w:tcW w:w="882" w:type="pct"/>
            <w:shd w:val="clear" w:color="auto" w:fill="auto"/>
            <w:vAlign w:val="center"/>
          </w:tcPr>
          <w:p w14:paraId="2E5FC5F6" w14:textId="4C6B8E64" w:rsidR="00B14519" w:rsidRPr="00781112" w:rsidRDefault="00B14519" w:rsidP="00D62058">
            <w:pPr>
              <w:jc w:val="center"/>
              <w:rPr>
                <w:rFonts w:cs="Arial"/>
                <w:color w:val="000000" w:themeColor="text1"/>
                <w:szCs w:val="16"/>
              </w:rPr>
            </w:pPr>
            <w:r w:rsidRPr="00781112">
              <w:rPr>
                <w:rFonts w:cs="Arial"/>
                <w:color w:val="000000" w:themeColor="text1"/>
                <w:szCs w:val="16"/>
              </w:rPr>
              <w:t>35.00%</w:t>
            </w:r>
          </w:p>
        </w:tc>
        <w:tc>
          <w:tcPr>
            <w:tcW w:w="882" w:type="pct"/>
          </w:tcPr>
          <w:p w14:paraId="4C26EA28" w14:textId="691A218F" w:rsidR="00B14519" w:rsidRPr="00781112" w:rsidRDefault="00B14519" w:rsidP="00360DD6">
            <w:pPr>
              <w:jc w:val="center"/>
              <w:rPr>
                <w:rFonts w:cs="Arial"/>
                <w:color w:val="000000" w:themeColor="text1"/>
                <w:szCs w:val="16"/>
              </w:rPr>
            </w:pPr>
            <w:r w:rsidRPr="00781112">
              <w:rPr>
                <w:rFonts w:cs="Arial"/>
                <w:color w:val="000000" w:themeColor="text1"/>
                <w:szCs w:val="16"/>
              </w:rPr>
              <w:t>36.00%</w:t>
            </w:r>
          </w:p>
        </w:tc>
        <w:tc>
          <w:tcPr>
            <w:tcW w:w="884" w:type="pct"/>
          </w:tcPr>
          <w:p w14:paraId="0BF1D9D9" w14:textId="482D9F05" w:rsidR="00B14519" w:rsidRPr="00781112" w:rsidRDefault="00B14519" w:rsidP="00360DD6">
            <w:pPr>
              <w:jc w:val="center"/>
              <w:rPr>
                <w:rFonts w:cs="Arial"/>
                <w:color w:val="000000" w:themeColor="text1"/>
                <w:szCs w:val="16"/>
              </w:rPr>
            </w:pPr>
            <w:r w:rsidRPr="00781112">
              <w:rPr>
                <w:rFonts w:cs="Arial"/>
                <w:color w:val="000000" w:themeColor="text1"/>
                <w:szCs w:val="16"/>
              </w:rPr>
              <w:t>37.00%</w:t>
            </w:r>
          </w:p>
        </w:tc>
        <w:tc>
          <w:tcPr>
            <w:tcW w:w="883" w:type="pct"/>
          </w:tcPr>
          <w:p w14:paraId="583F2116" w14:textId="7106D36C" w:rsidR="00B14519" w:rsidRPr="00781112" w:rsidRDefault="00B14519" w:rsidP="00360DD6">
            <w:pPr>
              <w:jc w:val="center"/>
              <w:rPr>
                <w:rFonts w:cs="Arial"/>
                <w:color w:val="000000" w:themeColor="text1"/>
                <w:szCs w:val="16"/>
              </w:rPr>
            </w:pPr>
            <w:r w:rsidRPr="00781112">
              <w:rPr>
                <w:rFonts w:cs="Arial"/>
                <w:color w:val="000000" w:themeColor="text1"/>
                <w:szCs w:val="16"/>
              </w:rPr>
              <w:t>38.00%</w:t>
            </w:r>
          </w:p>
        </w:tc>
        <w:tc>
          <w:tcPr>
            <w:tcW w:w="883" w:type="pct"/>
          </w:tcPr>
          <w:p w14:paraId="08E53F3C" w14:textId="7CD4AF73" w:rsidR="00B14519" w:rsidRPr="00781112" w:rsidRDefault="00B14519" w:rsidP="00360DD6">
            <w:pPr>
              <w:jc w:val="center"/>
              <w:rPr>
                <w:rFonts w:cs="Arial"/>
                <w:color w:val="000000" w:themeColor="text1"/>
                <w:szCs w:val="16"/>
              </w:rPr>
            </w:pPr>
            <w:r w:rsidRPr="00781112">
              <w:rPr>
                <w:rFonts w:cs="Arial"/>
                <w:color w:val="000000" w:themeColor="text1"/>
                <w:szCs w:val="16"/>
              </w:rPr>
              <w:t>39.00%</w:t>
            </w:r>
          </w:p>
        </w:tc>
      </w:tr>
      <w:tr w:rsidR="00B14519" w:rsidRPr="00781112" w14:paraId="3AA5E8F7" w14:textId="085D0F95" w:rsidTr="00451D7E">
        <w:trPr>
          <w:trHeight w:val="303"/>
        </w:trPr>
        <w:tc>
          <w:tcPr>
            <w:tcW w:w="586" w:type="pct"/>
            <w:shd w:val="clear" w:color="auto" w:fill="auto"/>
            <w:vAlign w:val="center"/>
          </w:tcPr>
          <w:p w14:paraId="49E152B3" w14:textId="4DC08CD2" w:rsidR="00B14519" w:rsidRPr="00781112" w:rsidRDefault="00B14519" w:rsidP="00D62058">
            <w:pPr>
              <w:rPr>
                <w:rFonts w:cs="Arial"/>
                <w:color w:val="000000" w:themeColor="text1"/>
                <w:szCs w:val="16"/>
              </w:rPr>
            </w:pPr>
            <w:r w:rsidRPr="00781112">
              <w:rPr>
                <w:rFonts w:cs="Arial"/>
                <w:color w:val="000000" w:themeColor="text1"/>
                <w:szCs w:val="16"/>
              </w:rPr>
              <w:t>Target B &lt;=</w:t>
            </w:r>
          </w:p>
        </w:tc>
        <w:tc>
          <w:tcPr>
            <w:tcW w:w="882" w:type="pct"/>
            <w:shd w:val="clear" w:color="auto" w:fill="auto"/>
            <w:vAlign w:val="center"/>
          </w:tcPr>
          <w:p w14:paraId="642E6A80" w14:textId="7A6AF652" w:rsidR="00B14519" w:rsidRPr="00781112" w:rsidRDefault="00B14519" w:rsidP="00D62058">
            <w:pPr>
              <w:jc w:val="center"/>
              <w:rPr>
                <w:rFonts w:cs="Arial"/>
                <w:color w:val="000000" w:themeColor="text1"/>
                <w:szCs w:val="16"/>
              </w:rPr>
            </w:pPr>
            <w:r w:rsidRPr="00781112">
              <w:rPr>
                <w:rFonts w:cs="Arial"/>
                <w:color w:val="000000" w:themeColor="text1"/>
                <w:szCs w:val="16"/>
              </w:rPr>
              <w:t>19.50%</w:t>
            </w:r>
          </w:p>
        </w:tc>
        <w:tc>
          <w:tcPr>
            <w:tcW w:w="882" w:type="pct"/>
          </w:tcPr>
          <w:p w14:paraId="752B6B9E" w14:textId="3979D870" w:rsidR="00B14519" w:rsidRPr="00781112" w:rsidRDefault="00B14519" w:rsidP="00360DD6">
            <w:pPr>
              <w:jc w:val="center"/>
              <w:rPr>
                <w:rFonts w:cs="Arial"/>
                <w:color w:val="000000" w:themeColor="text1"/>
                <w:szCs w:val="16"/>
              </w:rPr>
            </w:pPr>
            <w:r w:rsidRPr="00781112">
              <w:rPr>
                <w:rFonts w:cs="Arial"/>
                <w:color w:val="000000" w:themeColor="text1"/>
                <w:szCs w:val="16"/>
              </w:rPr>
              <w:t>19.00%</w:t>
            </w:r>
          </w:p>
        </w:tc>
        <w:tc>
          <w:tcPr>
            <w:tcW w:w="884" w:type="pct"/>
          </w:tcPr>
          <w:p w14:paraId="1DCC77D9" w14:textId="4B30FDBE" w:rsidR="00B14519" w:rsidRPr="00781112" w:rsidRDefault="00B14519" w:rsidP="00360DD6">
            <w:pPr>
              <w:jc w:val="center"/>
              <w:rPr>
                <w:rFonts w:cs="Arial"/>
                <w:color w:val="000000" w:themeColor="text1"/>
                <w:szCs w:val="16"/>
              </w:rPr>
            </w:pPr>
            <w:r w:rsidRPr="00781112">
              <w:rPr>
                <w:rFonts w:cs="Arial"/>
                <w:color w:val="000000" w:themeColor="text1"/>
                <w:szCs w:val="16"/>
              </w:rPr>
              <w:t>18.50%</w:t>
            </w:r>
          </w:p>
        </w:tc>
        <w:tc>
          <w:tcPr>
            <w:tcW w:w="883" w:type="pct"/>
          </w:tcPr>
          <w:p w14:paraId="481E8597" w14:textId="10A83577" w:rsidR="00B14519" w:rsidRPr="00781112" w:rsidRDefault="00B14519" w:rsidP="00360DD6">
            <w:pPr>
              <w:jc w:val="center"/>
              <w:rPr>
                <w:rFonts w:cs="Arial"/>
                <w:color w:val="000000" w:themeColor="text1"/>
                <w:szCs w:val="16"/>
              </w:rPr>
            </w:pPr>
            <w:r w:rsidRPr="00781112">
              <w:rPr>
                <w:rFonts w:cs="Arial"/>
                <w:color w:val="000000" w:themeColor="text1"/>
                <w:szCs w:val="16"/>
              </w:rPr>
              <w:t>18.00%</w:t>
            </w:r>
          </w:p>
        </w:tc>
        <w:tc>
          <w:tcPr>
            <w:tcW w:w="883" w:type="pct"/>
          </w:tcPr>
          <w:p w14:paraId="55F7CFD1" w14:textId="49CA8BA3" w:rsidR="00B14519" w:rsidRPr="00781112" w:rsidRDefault="00B14519" w:rsidP="00360DD6">
            <w:pPr>
              <w:jc w:val="center"/>
              <w:rPr>
                <w:rFonts w:cs="Arial"/>
                <w:color w:val="000000" w:themeColor="text1"/>
                <w:szCs w:val="16"/>
              </w:rPr>
            </w:pPr>
            <w:r w:rsidRPr="00781112">
              <w:rPr>
                <w:rFonts w:cs="Arial"/>
                <w:color w:val="000000" w:themeColor="text1"/>
                <w:szCs w:val="16"/>
              </w:rPr>
              <w:t>17.50%</w:t>
            </w:r>
          </w:p>
        </w:tc>
      </w:tr>
    </w:tbl>
    <w:p w14:paraId="27170CED" w14:textId="772C81FC" w:rsidR="00E428BD" w:rsidRDefault="00E428BD" w:rsidP="004369B2">
      <w:pPr>
        <w:rPr>
          <w:color w:val="000000" w:themeColor="text1"/>
        </w:rPr>
      </w:pPr>
      <w:bookmarkStart w:id="34" w:name="_Toc382082378"/>
      <w:bookmarkStart w:id="35" w:name="_Toc392159302"/>
    </w:p>
    <w:p w14:paraId="38AC4E98" w14:textId="77777777" w:rsidR="0040181B" w:rsidRPr="00781112" w:rsidRDefault="0040181B" w:rsidP="0040181B">
      <w:pPr>
        <w:rPr>
          <w:b/>
          <w:bCs/>
          <w:color w:val="000000" w:themeColor="text1"/>
        </w:rPr>
      </w:pPr>
      <w:r w:rsidRPr="00781112">
        <w:rPr>
          <w:b/>
          <w:bCs/>
        </w:rPr>
        <w:t>Inclusive Targets – 6C</w:t>
      </w:r>
    </w:p>
    <w:tbl>
      <w:tblPr>
        <w:tblW w:w="4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6"/>
        <w:gridCol w:w="1617"/>
        <w:gridCol w:w="1617"/>
        <w:gridCol w:w="1621"/>
        <w:gridCol w:w="1619"/>
        <w:gridCol w:w="1619"/>
      </w:tblGrid>
      <w:tr w:rsidR="00B14519" w:rsidRPr="00781112" w14:paraId="6B43903F" w14:textId="77777777" w:rsidTr="00451D7E">
        <w:trPr>
          <w:trHeight w:val="297"/>
        </w:trPr>
        <w:tc>
          <w:tcPr>
            <w:tcW w:w="586" w:type="pct"/>
            <w:tcBorders>
              <w:bottom w:val="single" w:sz="4" w:space="0" w:color="auto"/>
            </w:tcBorders>
            <w:shd w:val="clear" w:color="auto" w:fill="auto"/>
          </w:tcPr>
          <w:p w14:paraId="454FDD0F" w14:textId="77777777" w:rsidR="00B14519" w:rsidRPr="00781112" w:rsidRDefault="00B14519" w:rsidP="00992ACE">
            <w:pPr>
              <w:jc w:val="center"/>
              <w:rPr>
                <w:b/>
                <w:color w:val="000000" w:themeColor="text1"/>
              </w:rPr>
            </w:pPr>
            <w:r w:rsidRPr="00781112">
              <w:rPr>
                <w:b/>
                <w:color w:val="000000" w:themeColor="text1"/>
              </w:rPr>
              <w:t>FFY</w:t>
            </w:r>
          </w:p>
        </w:tc>
        <w:tc>
          <w:tcPr>
            <w:tcW w:w="882" w:type="pct"/>
            <w:shd w:val="clear" w:color="auto" w:fill="auto"/>
          </w:tcPr>
          <w:p w14:paraId="23E06477" w14:textId="77777777" w:rsidR="00B14519" w:rsidRPr="00781112" w:rsidRDefault="00B14519" w:rsidP="00992ACE">
            <w:pPr>
              <w:jc w:val="center"/>
              <w:rPr>
                <w:b/>
                <w:color w:val="000000" w:themeColor="text1"/>
              </w:rPr>
            </w:pPr>
            <w:r w:rsidRPr="00781112">
              <w:rPr>
                <w:b/>
                <w:color w:val="000000" w:themeColor="text1"/>
              </w:rPr>
              <w:t>2021</w:t>
            </w:r>
          </w:p>
        </w:tc>
        <w:tc>
          <w:tcPr>
            <w:tcW w:w="882" w:type="pct"/>
          </w:tcPr>
          <w:p w14:paraId="727ADECD" w14:textId="77777777" w:rsidR="00B14519" w:rsidRPr="00781112" w:rsidRDefault="00B14519" w:rsidP="00992ACE">
            <w:pPr>
              <w:jc w:val="center"/>
              <w:rPr>
                <w:b/>
                <w:color w:val="000000" w:themeColor="text1"/>
              </w:rPr>
            </w:pPr>
            <w:r w:rsidRPr="00781112">
              <w:rPr>
                <w:b/>
                <w:color w:val="000000" w:themeColor="text1"/>
              </w:rPr>
              <w:t>2022</w:t>
            </w:r>
          </w:p>
        </w:tc>
        <w:tc>
          <w:tcPr>
            <w:tcW w:w="884" w:type="pct"/>
          </w:tcPr>
          <w:p w14:paraId="6EC259CD" w14:textId="77777777" w:rsidR="00B14519" w:rsidRPr="00781112" w:rsidRDefault="00B14519" w:rsidP="00992ACE">
            <w:pPr>
              <w:jc w:val="center"/>
              <w:rPr>
                <w:b/>
                <w:color w:val="000000" w:themeColor="text1"/>
              </w:rPr>
            </w:pPr>
            <w:r w:rsidRPr="00781112">
              <w:rPr>
                <w:b/>
                <w:color w:val="000000" w:themeColor="text1"/>
              </w:rPr>
              <w:t>2023</w:t>
            </w:r>
          </w:p>
        </w:tc>
        <w:tc>
          <w:tcPr>
            <w:tcW w:w="883" w:type="pct"/>
          </w:tcPr>
          <w:p w14:paraId="30FC0D14" w14:textId="77777777" w:rsidR="00B14519" w:rsidRPr="00781112" w:rsidRDefault="00B14519" w:rsidP="00992ACE">
            <w:pPr>
              <w:jc w:val="center"/>
              <w:rPr>
                <w:b/>
                <w:color w:val="000000" w:themeColor="text1"/>
              </w:rPr>
            </w:pPr>
            <w:r w:rsidRPr="00781112">
              <w:rPr>
                <w:b/>
                <w:color w:val="000000" w:themeColor="text1"/>
              </w:rPr>
              <w:t>2024</w:t>
            </w:r>
          </w:p>
        </w:tc>
        <w:tc>
          <w:tcPr>
            <w:tcW w:w="883" w:type="pct"/>
          </w:tcPr>
          <w:p w14:paraId="508E78A1" w14:textId="77777777" w:rsidR="00B14519" w:rsidRPr="00781112" w:rsidRDefault="00B14519" w:rsidP="00992ACE">
            <w:pPr>
              <w:jc w:val="center"/>
              <w:rPr>
                <w:b/>
                <w:color w:val="000000" w:themeColor="text1"/>
              </w:rPr>
            </w:pPr>
            <w:r w:rsidRPr="00781112">
              <w:rPr>
                <w:b/>
                <w:color w:val="000000" w:themeColor="text1"/>
              </w:rPr>
              <w:t>2025</w:t>
            </w:r>
          </w:p>
        </w:tc>
      </w:tr>
      <w:tr w:rsidR="00B14519" w:rsidRPr="00781112" w14:paraId="38A2A2D3" w14:textId="77777777" w:rsidTr="00451D7E">
        <w:trPr>
          <w:trHeight w:val="303"/>
        </w:trPr>
        <w:tc>
          <w:tcPr>
            <w:tcW w:w="586" w:type="pct"/>
            <w:shd w:val="clear" w:color="auto" w:fill="auto"/>
            <w:vAlign w:val="center"/>
          </w:tcPr>
          <w:p w14:paraId="1A01A931" w14:textId="77777777" w:rsidR="00B14519" w:rsidRPr="00781112" w:rsidRDefault="00B14519" w:rsidP="00992ACE">
            <w:pPr>
              <w:rPr>
                <w:rFonts w:cs="Arial"/>
                <w:color w:val="000000" w:themeColor="text1"/>
                <w:szCs w:val="16"/>
              </w:rPr>
            </w:pPr>
            <w:r w:rsidRPr="00781112">
              <w:rPr>
                <w:rFonts w:cs="Arial"/>
                <w:color w:val="000000" w:themeColor="text1"/>
                <w:szCs w:val="16"/>
              </w:rPr>
              <w:t>Target C &lt;=</w:t>
            </w:r>
          </w:p>
        </w:tc>
        <w:tc>
          <w:tcPr>
            <w:tcW w:w="882" w:type="pct"/>
            <w:shd w:val="clear" w:color="auto" w:fill="auto"/>
            <w:vAlign w:val="center"/>
          </w:tcPr>
          <w:p w14:paraId="4CC46A48" w14:textId="77777777" w:rsidR="00B14519" w:rsidRPr="00781112" w:rsidRDefault="00B14519" w:rsidP="00992ACE">
            <w:pPr>
              <w:jc w:val="center"/>
              <w:rPr>
                <w:rFonts w:cs="Arial"/>
                <w:color w:val="000000" w:themeColor="text1"/>
                <w:szCs w:val="16"/>
              </w:rPr>
            </w:pPr>
            <w:r w:rsidRPr="00781112">
              <w:rPr>
                <w:rFonts w:cs="Arial"/>
                <w:color w:val="000000" w:themeColor="text1"/>
                <w:szCs w:val="16"/>
              </w:rPr>
              <w:t>1.01%</w:t>
            </w:r>
          </w:p>
        </w:tc>
        <w:tc>
          <w:tcPr>
            <w:tcW w:w="882" w:type="pct"/>
          </w:tcPr>
          <w:p w14:paraId="262E2FD0" w14:textId="77777777" w:rsidR="00B14519" w:rsidRPr="00781112" w:rsidRDefault="00B14519" w:rsidP="00992ACE">
            <w:pPr>
              <w:jc w:val="center"/>
              <w:rPr>
                <w:rFonts w:cs="Arial"/>
                <w:color w:val="000000" w:themeColor="text1"/>
                <w:szCs w:val="16"/>
              </w:rPr>
            </w:pPr>
            <w:r w:rsidRPr="00781112">
              <w:rPr>
                <w:rFonts w:cs="Arial"/>
                <w:color w:val="000000" w:themeColor="text1"/>
                <w:szCs w:val="16"/>
              </w:rPr>
              <w:t>1.00%</w:t>
            </w:r>
          </w:p>
        </w:tc>
        <w:tc>
          <w:tcPr>
            <w:tcW w:w="884" w:type="pct"/>
          </w:tcPr>
          <w:p w14:paraId="54ED085E" w14:textId="77777777" w:rsidR="00B14519" w:rsidRPr="00781112" w:rsidRDefault="00B14519" w:rsidP="00992ACE">
            <w:pPr>
              <w:jc w:val="center"/>
              <w:rPr>
                <w:rFonts w:cs="Arial"/>
                <w:color w:val="000000" w:themeColor="text1"/>
                <w:szCs w:val="16"/>
              </w:rPr>
            </w:pPr>
            <w:r w:rsidRPr="00781112">
              <w:rPr>
                <w:rFonts w:cs="Arial"/>
                <w:color w:val="000000" w:themeColor="text1"/>
                <w:szCs w:val="16"/>
              </w:rPr>
              <w:t>0.99%</w:t>
            </w:r>
          </w:p>
        </w:tc>
        <w:tc>
          <w:tcPr>
            <w:tcW w:w="883" w:type="pct"/>
          </w:tcPr>
          <w:p w14:paraId="2466D4C4" w14:textId="77777777" w:rsidR="00B14519" w:rsidRPr="00781112" w:rsidRDefault="00B14519" w:rsidP="00992ACE">
            <w:pPr>
              <w:jc w:val="center"/>
              <w:rPr>
                <w:rFonts w:cs="Arial"/>
                <w:color w:val="000000" w:themeColor="text1"/>
                <w:szCs w:val="16"/>
              </w:rPr>
            </w:pPr>
            <w:r w:rsidRPr="00781112">
              <w:rPr>
                <w:rFonts w:cs="Arial"/>
                <w:color w:val="000000" w:themeColor="text1"/>
                <w:szCs w:val="16"/>
              </w:rPr>
              <w:t>0.98%</w:t>
            </w:r>
          </w:p>
        </w:tc>
        <w:tc>
          <w:tcPr>
            <w:tcW w:w="883" w:type="pct"/>
          </w:tcPr>
          <w:p w14:paraId="17FD3C25" w14:textId="77777777" w:rsidR="00B14519" w:rsidRPr="00781112" w:rsidRDefault="00B14519" w:rsidP="00992ACE">
            <w:pPr>
              <w:jc w:val="center"/>
              <w:rPr>
                <w:rFonts w:cs="Arial"/>
                <w:color w:val="000000" w:themeColor="text1"/>
                <w:szCs w:val="16"/>
              </w:rPr>
            </w:pPr>
            <w:r w:rsidRPr="00781112">
              <w:rPr>
                <w:rFonts w:cs="Arial"/>
                <w:color w:val="000000" w:themeColor="text1"/>
                <w:szCs w:val="16"/>
              </w:rPr>
              <w:t>0.97%</w:t>
            </w:r>
          </w:p>
        </w:tc>
      </w:tr>
    </w:tbl>
    <w:p w14:paraId="6F4455E5" w14:textId="77777777" w:rsidR="0040181B" w:rsidRPr="00781112" w:rsidRDefault="0040181B" w:rsidP="0040181B">
      <w:pPr>
        <w:rPr>
          <w:color w:val="000000" w:themeColor="text1"/>
        </w:rPr>
      </w:pPr>
    </w:p>
    <w:p w14:paraId="50508AD8" w14:textId="0C71BBD3" w:rsidR="008751D3" w:rsidRPr="00781112" w:rsidRDefault="008751D3" w:rsidP="004369B2">
      <w:pPr>
        <w:rPr>
          <w:b/>
          <w:color w:val="000000" w:themeColor="text1"/>
        </w:rPr>
      </w:pPr>
      <w:r w:rsidRPr="00781112">
        <w:rPr>
          <w:b/>
          <w:color w:val="000000" w:themeColor="text1"/>
        </w:rPr>
        <w:t>Prepopulated Data</w:t>
      </w:r>
    </w:p>
    <w:p w14:paraId="4FE8FE34"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386CE8B6" w14:textId="365EFD16" w:rsidR="004F4564" w:rsidRPr="00781112" w:rsidRDefault="004F4564" w:rsidP="004F4564">
      <w:pPr>
        <w:rPr>
          <w:rFonts w:cs="Arial"/>
          <w:color w:val="000000" w:themeColor="text1"/>
          <w:szCs w:val="16"/>
        </w:rPr>
      </w:pPr>
      <w:r w:rsidRPr="00781112">
        <w:rPr>
          <w:rFonts w:cs="Arial"/>
          <w:color w:val="000000" w:themeColor="text1"/>
          <w:szCs w:val="16"/>
        </w:rPr>
        <w:t>SY 2021-22 Child Count/Educational Environment Data Groups (EDFacts file spec FS089; Data group 613)</w:t>
      </w:r>
    </w:p>
    <w:p w14:paraId="4528541A"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372F35F3" w14:textId="3C0B439F" w:rsidR="004F4564" w:rsidRPr="00781112" w:rsidRDefault="004F4564" w:rsidP="004F4564">
      <w:pPr>
        <w:rPr>
          <w:rFonts w:cs="Arial"/>
          <w:color w:val="000000" w:themeColor="text1"/>
          <w:szCs w:val="16"/>
        </w:rPr>
      </w:pPr>
      <w:r w:rsidRPr="00781112">
        <w:rPr>
          <w:rFonts w:cs="Arial"/>
          <w:color w:val="000000" w:themeColor="text1"/>
          <w:szCs w:val="16"/>
        </w:rPr>
        <w:t>07/06/2022</w:t>
      </w:r>
    </w:p>
    <w:p w14:paraId="023F428E"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08E6335C" w14:textId="3E29B965" w:rsidTr="00360DD6">
        <w:trPr>
          <w:cantSplit/>
          <w:tblHeader/>
        </w:trPr>
        <w:tc>
          <w:tcPr>
            <w:tcW w:w="1551" w:type="pct"/>
            <w:shd w:val="clear" w:color="auto" w:fill="auto"/>
          </w:tcPr>
          <w:p w14:paraId="47ECA16E"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06AF5DE5" w14:textId="64A96718"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43D1389C" w14:textId="51E4E6FF"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shd w:val="clear" w:color="auto" w:fill="auto"/>
          </w:tcPr>
          <w:p w14:paraId="5BF9C35D" w14:textId="53AE3D4B"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61BA1D5F" w14:textId="4D953D5F"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4FFA6181" w14:textId="716A2CB6" w:rsidTr="00360DD6">
        <w:trPr>
          <w:cantSplit/>
        </w:trPr>
        <w:tc>
          <w:tcPr>
            <w:tcW w:w="1551" w:type="pct"/>
            <w:shd w:val="clear" w:color="auto" w:fill="auto"/>
            <w:vAlign w:val="bottom"/>
          </w:tcPr>
          <w:p w14:paraId="0C7ED212" w14:textId="5E72519E"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20DD7859" w14:textId="2613E52D" w:rsidR="00DC09CA" w:rsidRPr="00781112" w:rsidRDefault="00DC09CA" w:rsidP="00DC09CA">
            <w:pPr>
              <w:jc w:val="center"/>
              <w:rPr>
                <w:rFonts w:cs="Arial"/>
                <w:color w:val="000000" w:themeColor="text1"/>
                <w:szCs w:val="16"/>
              </w:rPr>
            </w:pPr>
            <w:r w:rsidRPr="00781112">
              <w:rPr>
                <w:rFonts w:cs="Arial"/>
                <w:color w:val="000000" w:themeColor="text1"/>
                <w:szCs w:val="16"/>
              </w:rPr>
              <w:t>1,362</w:t>
            </w:r>
          </w:p>
        </w:tc>
        <w:tc>
          <w:tcPr>
            <w:tcW w:w="863" w:type="pct"/>
          </w:tcPr>
          <w:p w14:paraId="05D687A1" w14:textId="615962C4" w:rsidR="00DC09CA" w:rsidRPr="00781112" w:rsidRDefault="00DC09CA" w:rsidP="00DC09CA">
            <w:pPr>
              <w:jc w:val="center"/>
              <w:rPr>
                <w:rFonts w:cs="Arial"/>
                <w:color w:val="000000" w:themeColor="text1"/>
                <w:szCs w:val="16"/>
              </w:rPr>
            </w:pPr>
            <w:r w:rsidRPr="00781112">
              <w:rPr>
                <w:rFonts w:cs="Arial"/>
                <w:color w:val="000000" w:themeColor="text1"/>
                <w:szCs w:val="16"/>
              </w:rPr>
              <w:t>2,783</w:t>
            </w:r>
          </w:p>
        </w:tc>
        <w:tc>
          <w:tcPr>
            <w:tcW w:w="863" w:type="pct"/>
            <w:shd w:val="clear" w:color="auto" w:fill="auto"/>
          </w:tcPr>
          <w:p w14:paraId="784DA572" w14:textId="619FE690" w:rsidR="00DC09CA" w:rsidRPr="00781112" w:rsidRDefault="00DC09CA" w:rsidP="00DC09CA">
            <w:pPr>
              <w:jc w:val="center"/>
              <w:rPr>
                <w:rFonts w:cs="Arial"/>
                <w:color w:val="000000" w:themeColor="text1"/>
                <w:szCs w:val="16"/>
              </w:rPr>
            </w:pPr>
            <w:r w:rsidRPr="00781112">
              <w:rPr>
                <w:rFonts w:cs="Arial"/>
                <w:color w:val="000000" w:themeColor="text1"/>
                <w:szCs w:val="16"/>
              </w:rPr>
              <w:t>837</w:t>
            </w:r>
          </w:p>
        </w:tc>
        <w:tc>
          <w:tcPr>
            <w:tcW w:w="860" w:type="pct"/>
            <w:vAlign w:val="bottom"/>
          </w:tcPr>
          <w:p w14:paraId="11422879" w14:textId="0ABA0049" w:rsidR="00DC09CA" w:rsidRPr="00781112" w:rsidRDefault="00DC09CA" w:rsidP="00DC09CA">
            <w:pPr>
              <w:jc w:val="center"/>
              <w:rPr>
                <w:rFonts w:cs="Arial"/>
                <w:color w:val="000000" w:themeColor="text1"/>
                <w:szCs w:val="16"/>
              </w:rPr>
            </w:pPr>
            <w:r w:rsidRPr="00781112">
              <w:rPr>
                <w:rFonts w:cs="Arial"/>
                <w:color w:val="000000" w:themeColor="text1"/>
                <w:szCs w:val="16"/>
              </w:rPr>
              <w:t>4,982</w:t>
            </w:r>
          </w:p>
        </w:tc>
      </w:tr>
      <w:tr w:rsidR="00AA6D68" w:rsidRPr="00781112" w14:paraId="60B80599" w14:textId="5C935507" w:rsidTr="00360DD6">
        <w:trPr>
          <w:cantSplit/>
        </w:trPr>
        <w:tc>
          <w:tcPr>
            <w:tcW w:w="1551" w:type="pct"/>
            <w:shd w:val="clear" w:color="auto" w:fill="auto"/>
            <w:vAlign w:val="bottom"/>
          </w:tcPr>
          <w:p w14:paraId="143C4F1B" w14:textId="07512ED2" w:rsidR="00AA6D68" w:rsidRPr="00781112" w:rsidRDefault="00AA6D68" w:rsidP="00AA6D68">
            <w:pPr>
              <w:rPr>
                <w:rFonts w:cs="Arial"/>
                <w:color w:val="000000" w:themeColor="text1"/>
                <w:szCs w:val="16"/>
              </w:rPr>
            </w:pPr>
            <w:r w:rsidRPr="00781112">
              <w:rPr>
                <w:rFonts w:cs="Arial"/>
                <w:color w:val="000000" w:themeColor="text1"/>
                <w:szCs w:val="16"/>
              </w:rPr>
              <w:t>a1. Number of children attending a regular early childhood program and receiving the majority of special education and related services in the regular early childhood program</w:t>
            </w:r>
          </w:p>
        </w:tc>
        <w:tc>
          <w:tcPr>
            <w:tcW w:w="863" w:type="pct"/>
            <w:vAlign w:val="bottom"/>
          </w:tcPr>
          <w:p w14:paraId="659D2B47" w14:textId="4A180B03" w:rsidR="00AA6D68" w:rsidRPr="00781112" w:rsidRDefault="00AA6D68" w:rsidP="00AA6D68">
            <w:pPr>
              <w:jc w:val="center"/>
              <w:rPr>
                <w:rFonts w:cs="Arial"/>
                <w:color w:val="000000" w:themeColor="text1"/>
                <w:szCs w:val="16"/>
              </w:rPr>
            </w:pPr>
            <w:r w:rsidRPr="00781112">
              <w:rPr>
                <w:rFonts w:cs="Arial"/>
                <w:color w:val="000000" w:themeColor="text1"/>
                <w:szCs w:val="16"/>
              </w:rPr>
              <w:t>463</w:t>
            </w:r>
          </w:p>
        </w:tc>
        <w:tc>
          <w:tcPr>
            <w:tcW w:w="863" w:type="pct"/>
            <w:vAlign w:val="bottom"/>
          </w:tcPr>
          <w:p w14:paraId="2D2F33A9" w14:textId="09F0EE8B" w:rsidR="00AA6D68" w:rsidRPr="00781112" w:rsidRDefault="00AA6D68" w:rsidP="00AA6D68">
            <w:pPr>
              <w:jc w:val="center"/>
              <w:rPr>
                <w:rFonts w:cs="Arial"/>
                <w:color w:val="000000" w:themeColor="text1"/>
                <w:szCs w:val="16"/>
              </w:rPr>
            </w:pPr>
            <w:r w:rsidRPr="00781112">
              <w:rPr>
                <w:rFonts w:cs="Arial"/>
                <w:color w:val="000000" w:themeColor="text1"/>
                <w:szCs w:val="16"/>
              </w:rPr>
              <w:t>1,012</w:t>
            </w:r>
          </w:p>
        </w:tc>
        <w:tc>
          <w:tcPr>
            <w:tcW w:w="863" w:type="pct"/>
            <w:shd w:val="clear" w:color="auto" w:fill="auto"/>
            <w:vAlign w:val="bottom"/>
          </w:tcPr>
          <w:p w14:paraId="68B37A39" w14:textId="60285701" w:rsidR="00AA6D68" w:rsidRPr="00781112" w:rsidRDefault="00AA6D68" w:rsidP="00AA6D68">
            <w:pPr>
              <w:jc w:val="center"/>
              <w:rPr>
                <w:rFonts w:cs="Arial"/>
                <w:color w:val="000000" w:themeColor="text1"/>
                <w:szCs w:val="16"/>
              </w:rPr>
            </w:pPr>
            <w:r w:rsidRPr="00781112">
              <w:rPr>
                <w:rFonts w:cs="Arial"/>
                <w:color w:val="000000" w:themeColor="text1"/>
                <w:szCs w:val="16"/>
              </w:rPr>
              <w:t>334</w:t>
            </w:r>
          </w:p>
        </w:tc>
        <w:tc>
          <w:tcPr>
            <w:tcW w:w="860" w:type="pct"/>
            <w:vAlign w:val="bottom"/>
          </w:tcPr>
          <w:p w14:paraId="1B31D3BF" w14:textId="343E52C8" w:rsidR="00AA6D68" w:rsidRPr="00781112" w:rsidRDefault="00AA6D68" w:rsidP="00AA6D68">
            <w:pPr>
              <w:jc w:val="center"/>
              <w:rPr>
                <w:rFonts w:cs="Arial"/>
                <w:color w:val="000000" w:themeColor="text1"/>
                <w:szCs w:val="16"/>
              </w:rPr>
            </w:pPr>
            <w:r w:rsidRPr="00781112">
              <w:rPr>
                <w:rFonts w:cs="Arial"/>
                <w:color w:val="000000" w:themeColor="text1"/>
                <w:szCs w:val="16"/>
              </w:rPr>
              <w:t>1,809</w:t>
            </w:r>
          </w:p>
        </w:tc>
      </w:tr>
      <w:tr w:rsidR="00AA6D68" w:rsidRPr="00781112" w14:paraId="582B62E7" w14:textId="4FE061F8" w:rsidTr="00360DD6">
        <w:trPr>
          <w:cantSplit/>
        </w:trPr>
        <w:tc>
          <w:tcPr>
            <w:tcW w:w="1551" w:type="pct"/>
            <w:shd w:val="clear" w:color="auto" w:fill="auto"/>
            <w:vAlign w:val="bottom"/>
          </w:tcPr>
          <w:p w14:paraId="446012AB" w14:textId="507DD720" w:rsidR="00AA6D68" w:rsidRPr="00781112" w:rsidRDefault="00AA6D68" w:rsidP="00AA6D68">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14:paraId="5B37B0B3" w14:textId="176B3EE5" w:rsidR="00AA6D68" w:rsidRPr="00781112" w:rsidRDefault="00AA6D68" w:rsidP="00AA6D68">
            <w:pPr>
              <w:jc w:val="center"/>
              <w:rPr>
                <w:rFonts w:cs="Arial"/>
                <w:color w:val="000000" w:themeColor="text1"/>
                <w:szCs w:val="16"/>
              </w:rPr>
            </w:pPr>
            <w:r w:rsidRPr="00781112">
              <w:rPr>
                <w:rFonts w:cs="Arial"/>
                <w:color w:val="000000" w:themeColor="text1"/>
                <w:szCs w:val="16"/>
              </w:rPr>
              <w:t>367</w:t>
            </w:r>
          </w:p>
        </w:tc>
        <w:tc>
          <w:tcPr>
            <w:tcW w:w="863" w:type="pct"/>
            <w:vAlign w:val="bottom"/>
          </w:tcPr>
          <w:p w14:paraId="649C86D1" w14:textId="317BBD6C" w:rsidR="00AA6D68" w:rsidRPr="00781112" w:rsidRDefault="00AA6D68" w:rsidP="00AA6D68">
            <w:pPr>
              <w:jc w:val="center"/>
              <w:rPr>
                <w:rFonts w:cs="Arial"/>
                <w:color w:val="000000" w:themeColor="text1"/>
                <w:szCs w:val="16"/>
              </w:rPr>
            </w:pPr>
            <w:r w:rsidRPr="00781112">
              <w:rPr>
                <w:rFonts w:cs="Arial"/>
                <w:color w:val="000000" w:themeColor="text1"/>
                <w:szCs w:val="16"/>
              </w:rPr>
              <w:t>484</w:t>
            </w:r>
          </w:p>
        </w:tc>
        <w:tc>
          <w:tcPr>
            <w:tcW w:w="863" w:type="pct"/>
            <w:shd w:val="clear" w:color="auto" w:fill="auto"/>
            <w:vAlign w:val="bottom"/>
          </w:tcPr>
          <w:p w14:paraId="34B911BF" w14:textId="069E997C" w:rsidR="00AA6D68" w:rsidRPr="00781112" w:rsidRDefault="00AA6D68" w:rsidP="00AA6D68">
            <w:pPr>
              <w:jc w:val="center"/>
              <w:rPr>
                <w:rFonts w:cs="Arial"/>
                <w:color w:val="000000" w:themeColor="text1"/>
                <w:szCs w:val="16"/>
              </w:rPr>
            </w:pPr>
            <w:r w:rsidRPr="00781112">
              <w:rPr>
                <w:rFonts w:cs="Arial"/>
                <w:color w:val="000000" w:themeColor="text1"/>
                <w:szCs w:val="16"/>
              </w:rPr>
              <w:t>105</w:t>
            </w:r>
          </w:p>
        </w:tc>
        <w:tc>
          <w:tcPr>
            <w:tcW w:w="860" w:type="pct"/>
            <w:vAlign w:val="bottom"/>
          </w:tcPr>
          <w:p w14:paraId="6E1B5396" w14:textId="55FA87AA" w:rsidR="00AA6D68" w:rsidRPr="00781112" w:rsidRDefault="00AA6D68" w:rsidP="00AA6D68">
            <w:pPr>
              <w:jc w:val="center"/>
              <w:rPr>
                <w:rFonts w:cs="Arial"/>
                <w:color w:val="000000" w:themeColor="text1"/>
                <w:szCs w:val="16"/>
              </w:rPr>
            </w:pPr>
            <w:r w:rsidRPr="00781112">
              <w:rPr>
                <w:rFonts w:cs="Arial"/>
                <w:color w:val="000000" w:themeColor="text1"/>
                <w:szCs w:val="16"/>
              </w:rPr>
              <w:t>956</w:t>
            </w:r>
          </w:p>
        </w:tc>
      </w:tr>
      <w:tr w:rsidR="00AA6D68" w:rsidRPr="00781112" w14:paraId="5F08FCEF" w14:textId="35AA1AA1" w:rsidTr="00360DD6">
        <w:trPr>
          <w:cantSplit/>
        </w:trPr>
        <w:tc>
          <w:tcPr>
            <w:tcW w:w="1551" w:type="pct"/>
            <w:shd w:val="clear" w:color="auto" w:fill="auto"/>
            <w:vAlign w:val="bottom"/>
          </w:tcPr>
          <w:p w14:paraId="3C415E88" w14:textId="06B2C03E" w:rsidR="00AA6D68" w:rsidRPr="00781112" w:rsidRDefault="00AA6D68" w:rsidP="00AA6D68">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14:paraId="0B0C493F" w14:textId="085891A4" w:rsidR="00AA6D68" w:rsidRPr="00781112" w:rsidRDefault="00AA6D68" w:rsidP="00AA6D68">
            <w:pPr>
              <w:jc w:val="center"/>
              <w:rPr>
                <w:rFonts w:cs="Arial"/>
                <w:color w:val="000000" w:themeColor="text1"/>
                <w:szCs w:val="16"/>
              </w:rPr>
            </w:pPr>
            <w:r w:rsidRPr="00781112">
              <w:rPr>
                <w:rFonts w:cs="Arial"/>
                <w:color w:val="000000" w:themeColor="text1"/>
                <w:szCs w:val="16"/>
              </w:rPr>
              <w:t>2</w:t>
            </w:r>
          </w:p>
        </w:tc>
        <w:tc>
          <w:tcPr>
            <w:tcW w:w="863" w:type="pct"/>
            <w:vAlign w:val="bottom"/>
          </w:tcPr>
          <w:p w14:paraId="7F83F331" w14:textId="1A8FD76D" w:rsidR="00AA6D68" w:rsidRPr="00781112" w:rsidRDefault="00AA6D68" w:rsidP="00AA6D68">
            <w:pPr>
              <w:jc w:val="center"/>
              <w:rPr>
                <w:rFonts w:cs="Arial"/>
                <w:color w:val="000000" w:themeColor="text1"/>
                <w:szCs w:val="16"/>
              </w:rPr>
            </w:pPr>
            <w:r w:rsidRPr="00781112">
              <w:rPr>
                <w:rFonts w:cs="Arial"/>
                <w:color w:val="000000" w:themeColor="text1"/>
                <w:szCs w:val="16"/>
              </w:rPr>
              <w:t>9</w:t>
            </w:r>
          </w:p>
        </w:tc>
        <w:tc>
          <w:tcPr>
            <w:tcW w:w="863" w:type="pct"/>
            <w:shd w:val="clear" w:color="auto" w:fill="auto"/>
            <w:vAlign w:val="bottom"/>
          </w:tcPr>
          <w:p w14:paraId="32D467B1" w14:textId="0D72CE8A"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59CC5F97" w14:textId="073369C4" w:rsidR="00AA6D68" w:rsidRPr="00781112" w:rsidRDefault="00AA6D68" w:rsidP="00AA6D68">
            <w:pPr>
              <w:jc w:val="center"/>
              <w:rPr>
                <w:rFonts w:cs="Arial"/>
                <w:color w:val="000000" w:themeColor="text1"/>
                <w:szCs w:val="16"/>
              </w:rPr>
            </w:pPr>
            <w:r w:rsidRPr="00781112">
              <w:rPr>
                <w:rFonts w:cs="Arial"/>
                <w:color w:val="000000" w:themeColor="text1"/>
                <w:szCs w:val="16"/>
              </w:rPr>
              <w:t>11</w:t>
            </w:r>
          </w:p>
        </w:tc>
      </w:tr>
      <w:tr w:rsidR="00AA6D68" w:rsidRPr="00781112" w14:paraId="285801C1" w14:textId="545BB6C5" w:rsidTr="00360DD6">
        <w:trPr>
          <w:cantSplit/>
        </w:trPr>
        <w:tc>
          <w:tcPr>
            <w:tcW w:w="1551" w:type="pct"/>
            <w:shd w:val="clear" w:color="auto" w:fill="auto"/>
            <w:vAlign w:val="bottom"/>
          </w:tcPr>
          <w:p w14:paraId="4D90BA5B" w14:textId="1285C74B" w:rsidR="00AA6D68" w:rsidRPr="00781112" w:rsidRDefault="00AA6D68" w:rsidP="00AA6D68">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14:paraId="10FA71B8" w14:textId="48D7E7C4" w:rsidR="00AA6D68" w:rsidRPr="00781112" w:rsidRDefault="00AA6D68" w:rsidP="00AA6D68">
            <w:pPr>
              <w:jc w:val="center"/>
              <w:rPr>
                <w:rFonts w:cs="Arial"/>
                <w:color w:val="000000" w:themeColor="text1"/>
                <w:szCs w:val="16"/>
              </w:rPr>
            </w:pPr>
            <w:r w:rsidRPr="00781112">
              <w:rPr>
                <w:rFonts w:cs="Arial"/>
                <w:color w:val="000000" w:themeColor="text1"/>
                <w:szCs w:val="16"/>
              </w:rPr>
              <w:t>6</w:t>
            </w:r>
          </w:p>
        </w:tc>
        <w:tc>
          <w:tcPr>
            <w:tcW w:w="863" w:type="pct"/>
            <w:vAlign w:val="bottom"/>
          </w:tcPr>
          <w:p w14:paraId="3DF044A6" w14:textId="3BE72431" w:rsidR="00AA6D68" w:rsidRPr="00781112" w:rsidRDefault="00AA6D68" w:rsidP="00AA6D68">
            <w:pPr>
              <w:jc w:val="center"/>
              <w:rPr>
                <w:rFonts w:cs="Arial"/>
                <w:color w:val="000000" w:themeColor="text1"/>
                <w:szCs w:val="16"/>
              </w:rPr>
            </w:pPr>
            <w:r w:rsidRPr="00781112">
              <w:rPr>
                <w:rFonts w:cs="Arial"/>
                <w:color w:val="000000" w:themeColor="text1"/>
                <w:szCs w:val="16"/>
              </w:rPr>
              <w:t>3</w:t>
            </w:r>
          </w:p>
        </w:tc>
        <w:tc>
          <w:tcPr>
            <w:tcW w:w="863" w:type="pct"/>
            <w:shd w:val="clear" w:color="auto" w:fill="auto"/>
            <w:vAlign w:val="bottom"/>
          </w:tcPr>
          <w:p w14:paraId="444A24A0" w14:textId="086A4938"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0" w:type="pct"/>
            <w:vAlign w:val="bottom"/>
          </w:tcPr>
          <w:p w14:paraId="5D7F86B2" w14:textId="5A6D31FC" w:rsidR="00AA6D68" w:rsidRPr="00781112" w:rsidRDefault="00AA6D68" w:rsidP="00AA6D68">
            <w:pPr>
              <w:jc w:val="center"/>
              <w:rPr>
                <w:rFonts w:cs="Arial"/>
                <w:color w:val="000000" w:themeColor="text1"/>
                <w:szCs w:val="16"/>
              </w:rPr>
            </w:pPr>
            <w:r w:rsidRPr="00781112">
              <w:rPr>
                <w:rFonts w:cs="Arial"/>
                <w:color w:val="000000" w:themeColor="text1"/>
                <w:szCs w:val="16"/>
              </w:rPr>
              <w:t>10</w:t>
            </w:r>
          </w:p>
        </w:tc>
      </w:tr>
      <w:tr w:rsidR="00AA6D68" w:rsidRPr="00781112" w14:paraId="162FD575" w14:textId="77777777" w:rsidTr="00360DD6">
        <w:trPr>
          <w:cantSplit/>
        </w:trPr>
        <w:tc>
          <w:tcPr>
            <w:tcW w:w="1551" w:type="pct"/>
            <w:shd w:val="clear" w:color="auto" w:fill="auto"/>
          </w:tcPr>
          <w:p w14:paraId="469B81A7" w14:textId="048681D7" w:rsidR="00AA6D68" w:rsidRPr="00781112" w:rsidRDefault="00AA6D68" w:rsidP="00AA6D68">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56C9B5B7" w14:textId="065E27FB" w:rsidR="00AA6D68" w:rsidRPr="00781112" w:rsidRDefault="00AA6D68" w:rsidP="00AA6D68">
            <w:pPr>
              <w:jc w:val="center"/>
              <w:rPr>
                <w:rFonts w:cs="Arial"/>
                <w:color w:val="000000" w:themeColor="text1"/>
                <w:szCs w:val="16"/>
              </w:rPr>
            </w:pPr>
            <w:r w:rsidRPr="00781112">
              <w:rPr>
                <w:rFonts w:cs="Arial"/>
                <w:color w:val="000000" w:themeColor="text1"/>
                <w:szCs w:val="16"/>
              </w:rPr>
              <w:t>6</w:t>
            </w:r>
          </w:p>
        </w:tc>
        <w:tc>
          <w:tcPr>
            <w:tcW w:w="863" w:type="pct"/>
            <w:vAlign w:val="bottom"/>
          </w:tcPr>
          <w:p w14:paraId="134D035A" w14:textId="14186034" w:rsidR="00AA6D68" w:rsidRPr="00781112" w:rsidRDefault="00AA6D68" w:rsidP="00AA6D68">
            <w:pPr>
              <w:jc w:val="center"/>
              <w:rPr>
                <w:rFonts w:cs="Arial"/>
                <w:color w:val="000000" w:themeColor="text1"/>
                <w:szCs w:val="16"/>
              </w:rPr>
            </w:pPr>
            <w:r w:rsidRPr="00781112">
              <w:rPr>
                <w:rFonts w:cs="Arial"/>
                <w:color w:val="000000" w:themeColor="text1"/>
                <w:szCs w:val="16"/>
              </w:rPr>
              <w:t>18</w:t>
            </w:r>
          </w:p>
        </w:tc>
        <w:tc>
          <w:tcPr>
            <w:tcW w:w="863" w:type="pct"/>
            <w:shd w:val="clear" w:color="auto" w:fill="auto"/>
            <w:vAlign w:val="bottom"/>
          </w:tcPr>
          <w:p w14:paraId="0C864D52" w14:textId="38992EC2"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4</w:t>
            </w:r>
          </w:p>
        </w:tc>
        <w:tc>
          <w:tcPr>
            <w:tcW w:w="860" w:type="pct"/>
            <w:vAlign w:val="bottom"/>
          </w:tcPr>
          <w:p w14:paraId="1750EA0E" w14:textId="2B34BC50" w:rsidR="00AA6D68" w:rsidRPr="00781112" w:rsidRDefault="00AA6D68" w:rsidP="00AA6D68">
            <w:pPr>
              <w:jc w:val="center"/>
              <w:rPr>
                <w:rFonts w:cs="Arial"/>
                <w:color w:val="000000" w:themeColor="text1"/>
                <w:szCs w:val="16"/>
              </w:rPr>
            </w:pPr>
            <w:r w:rsidRPr="00781112">
              <w:rPr>
                <w:rFonts w:cs="Arial"/>
                <w:color w:val="000000" w:themeColor="text1"/>
                <w:szCs w:val="16"/>
              </w:rPr>
              <w:t>28</w:t>
            </w:r>
          </w:p>
        </w:tc>
      </w:tr>
    </w:tbl>
    <w:p w14:paraId="68A2C8C5" w14:textId="4EBE62FD" w:rsidR="00AB2A39" w:rsidRPr="00781112" w:rsidRDefault="00AB2A39" w:rsidP="004369B2">
      <w:pPr>
        <w:rPr>
          <w:color w:val="000000" w:themeColor="text1"/>
        </w:rPr>
      </w:pPr>
    </w:p>
    <w:p w14:paraId="051F4366" w14:textId="77777777" w:rsidR="00C910BC" w:rsidRPr="00781112" w:rsidRDefault="00C910BC" w:rsidP="00C910BC">
      <w:pPr>
        <w:rPr>
          <w:b/>
          <w:color w:val="000000" w:themeColor="text1"/>
        </w:rPr>
      </w:pPr>
      <w:r w:rsidRPr="00781112">
        <w:rPr>
          <w:b/>
          <w:color w:val="000000" w:themeColor="text1"/>
        </w:rPr>
        <w:t>Select yes if the data reported in this indicator are not the same as the State’s data reported under section 618 of the IDEA.</w:t>
      </w:r>
    </w:p>
    <w:p w14:paraId="1B696537" w14:textId="29C6B4ED" w:rsidR="00C910BC" w:rsidRPr="00781112" w:rsidRDefault="00C910BC" w:rsidP="00C910BC">
      <w:pPr>
        <w:rPr>
          <w:color w:val="000000" w:themeColor="text1"/>
        </w:rPr>
      </w:pPr>
      <w:r w:rsidRPr="00781112">
        <w:rPr>
          <w:color w:val="000000" w:themeColor="text1"/>
        </w:rPr>
        <w:t>NO</w:t>
      </w:r>
    </w:p>
    <w:p w14:paraId="42C69847" w14:textId="2CAC8037" w:rsidR="002D5ED8" w:rsidRDefault="002D5ED8" w:rsidP="00D16730">
      <w:pPr>
        <w:rPr>
          <w:b/>
          <w:color w:val="000000" w:themeColor="text1"/>
        </w:rPr>
      </w:pPr>
    </w:p>
    <w:p w14:paraId="6C024B4D" w14:textId="77777777" w:rsidR="00D16730" w:rsidRPr="00781112" w:rsidRDefault="00D16730" w:rsidP="007D100A">
      <w:pPr>
        <w:rPr>
          <w:rFonts w:cs="Arial"/>
          <w:color w:val="000000" w:themeColor="text1"/>
          <w:szCs w:val="16"/>
        </w:rPr>
      </w:pPr>
    </w:p>
    <w:p w14:paraId="318E60C6" w14:textId="77777777" w:rsidR="007D100A" w:rsidRPr="00781112" w:rsidRDefault="007D100A" w:rsidP="004369B2">
      <w:pPr>
        <w:rPr>
          <w:b/>
          <w:color w:val="000000" w:themeColor="text1"/>
        </w:rPr>
      </w:pPr>
    </w:p>
    <w:p w14:paraId="0F42B2F6" w14:textId="0384E1C7" w:rsidR="00E60622" w:rsidRPr="00781112" w:rsidRDefault="0047313F" w:rsidP="004369B2">
      <w:pPr>
        <w:rPr>
          <w:b/>
          <w:bCs/>
          <w:color w:val="000000" w:themeColor="text1"/>
        </w:rPr>
      </w:pPr>
      <w:r>
        <w:rPr>
          <w:b/>
          <w:bCs/>
          <w:color w:val="000000" w:themeColor="text1"/>
        </w:rPr>
        <w:t xml:space="preserve">FFY 2021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CC1061" w:rsidRPr="00781112" w14:paraId="38300B51" w14:textId="77777777" w:rsidTr="007239EC">
        <w:trPr>
          <w:trHeight w:val="354"/>
          <w:tblHeader/>
        </w:trPr>
        <w:tc>
          <w:tcPr>
            <w:tcW w:w="1373" w:type="pct"/>
            <w:shd w:val="clear" w:color="auto" w:fill="auto"/>
            <w:vAlign w:val="bottom"/>
          </w:tcPr>
          <w:p w14:paraId="0F38A3C5" w14:textId="3D46820E" w:rsidR="00CC1061" w:rsidRPr="00781112" w:rsidRDefault="00CC1061" w:rsidP="00CC1061">
            <w:pPr>
              <w:jc w:val="center"/>
              <w:rPr>
                <w:rFonts w:cs="Arial"/>
                <w:b/>
                <w:color w:val="000000" w:themeColor="text1"/>
                <w:szCs w:val="16"/>
              </w:rPr>
            </w:pPr>
            <w:r w:rsidRPr="00781112">
              <w:rPr>
                <w:rFonts w:cs="Arial"/>
                <w:b/>
                <w:color w:val="000000" w:themeColor="text1"/>
                <w:szCs w:val="16"/>
              </w:rPr>
              <w:t>Preschool Environments</w:t>
            </w:r>
          </w:p>
        </w:tc>
        <w:tc>
          <w:tcPr>
            <w:tcW w:w="518" w:type="pct"/>
            <w:shd w:val="clear" w:color="auto" w:fill="auto"/>
            <w:vAlign w:val="bottom"/>
          </w:tcPr>
          <w:p w14:paraId="0AEF809B" w14:textId="4D8F18F7" w:rsidR="00CC1061" w:rsidRPr="00781112" w:rsidRDefault="00CC1061" w:rsidP="00CC1061">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shd w:val="clear" w:color="auto" w:fill="auto"/>
            <w:vAlign w:val="bottom"/>
          </w:tcPr>
          <w:p w14:paraId="21256B17" w14:textId="12840CBA" w:rsidR="00CC1061" w:rsidRPr="00781112" w:rsidRDefault="00CC1061" w:rsidP="00CC1061">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shd w:val="clear" w:color="auto" w:fill="auto"/>
            <w:vAlign w:val="bottom"/>
          </w:tcPr>
          <w:p w14:paraId="338A0E59" w14:textId="1BD6525B" w:rsidR="00CC1061" w:rsidRPr="00781112" w:rsidRDefault="00CC1061" w:rsidP="00CC1061">
            <w:pPr>
              <w:jc w:val="center"/>
              <w:rPr>
                <w:rFonts w:cs="Arial"/>
                <w:b/>
                <w:color w:val="000000" w:themeColor="text1"/>
                <w:szCs w:val="16"/>
              </w:rPr>
            </w:pPr>
            <w:r w:rsidRPr="00073BD7">
              <w:rPr>
                <w:b/>
                <w:bCs/>
              </w:rPr>
              <w:t>FFY 2020 Data</w:t>
            </w:r>
          </w:p>
        </w:tc>
        <w:tc>
          <w:tcPr>
            <w:tcW w:w="518" w:type="pct"/>
            <w:shd w:val="clear" w:color="auto" w:fill="auto"/>
            <w:vAlign w:val="bottom"/>
          </w:tcPr>
          <w:p w14:paraId="525540A0" w14:textId="08223658" w:rsidR="00CC1061" w:rsidRPr="00781112" w:rsidRDefault="00CC1061" w:rsidP="00CC1061">
            <w:pPr>
              <w:jc w:val="center"/>
              <w:rPr>
                <w:rFonts w:cs="Arial"/>
                <w:b/>
                <w:color w:val="000000" w:themeColor="text1"/>
                <w:szCs w:val="16"/>
              </w:rPr>
            </w:pPr>
            <w:r w:rsidRPr="00073BD7">
              <w:rPr>
                <w:b/>
                <w:bCs/>
              </w:rPr>
              <w:t>FFY 2021 Target</w:t>
            </w:r>
          </w:p>
        </w:tc>
        <w:tc>
          <w:tcPr>
            <w:tcW w:w="518" w:type="pct"/>
            <w:shd w:val="clear" w:color="auto" w:fill="auto"/>
            <w:vAlign w:val="bottom"/>
          </w:tcPr>
          <w:p w14:paraId="2B9D213A" w14:textId="238B73CF" w:rsidR="00CC1061" w:rsidRPr="00781112" w:rsidRDefault="00CC1061" w:rsidP="00CC1061">
            <w:pPr>
              <w:jc w:val="center"/>
              <w:rPr>
                <w:rFonts w:cs="Arial"/>
                <w:b/>
                <w:color w:val="000000" w:themeColor="text1"/>
                <w:szCs w:val="16"/>
              </w:rPr>
            </w:pPr>
            <w:r w:rsidRPr="00073BD7">
              <w:rPr>
                <w:b/>
                <w:bCs/>
              </w:rPr>
              <w:t>FFY 2021 Data</w:t>
            </w:r>
          </w:p>
        </w:tc>
        <w:tc>
          <w:tcPr>
            <w:tcW w:w="518" w:type="pct"/>
            <w:shd w:val="clear" w:color="auto" w:fill="auto"/>
            <w:vAlign w:val="bottom"/>
          </w:tcPr>
          <w:p w14:paraId="46108583"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Status</w:t>
            </w:r>
          </w:p>
        </w:tc>
        <w:tc>
          <w:tcPr>
            <w:tcW w:w="518" w:type="pct"/>
            <w:shd w:val="clear" w:color="auto" w:fill="auto"/>
            <w:vAlign w:val="bottom"/>
          </w:tcPr>
          <w:p w14:paraId="02DECB75"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Slippage</w:t>
            </w:r>
          </w:p>
        </w:tc>
      </w:tr>
      <w:tr w:rsidR="005C29F8" w:rsidRPr="00781112" w14:paraId="57F8AB2C" w14:textId="77777777" w:rsidTr="007239EC">
        <w:trPr>
          <w:trHeight w:val="917"/>
        </w:trPr>
        <w:tc>
          <w:tcPr>
            <w:tcW w:w="1373" w:type="pct"/>
            <w:shd w:val="clear" w:color="auto" w:fill="auto"/>
            <w:vAlign w:val="center"/>
          </w:tcPr>
          <w:p w14:paraId="262EE4AB" w14:textId="15267873"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A. A regular early childhood program and receiving the majority of special education and related services in the regular early childhood program</w:t>
            </w:r>
          </w:p>
        </w:tc>
        <w:tc>
          <w:tcPr>
            <w:tcW w:w="518" w:type="pct"/>
            <w:shd w:val="clear" w:color="auto" w:fill="auto"/>
            <w:vAlign w:val="center"/>
          </w:tcPr>
          <w:p w14:paraId="251726D2" w14:textId="038B4D14" w:rsidR="00CF6742" w:rsidRPr="00781112" w:rsidRDefault="002B7490" w:rsidP="00A018D4">
            <w:pPr>
              <w:jc w:val="center"/>
              <w:rPr>
                <w:rFonts w:cs="Arial"/>
                <w:color w:val="000000" w:themeColor="text1"/>
                <w:szCs w:val="16"/>
              </w:rPr>
            </w:pPr>
            <w:r w:rsidRPr="00781112">
              <w:rPr>
                <w:rFonts w:cs="Arial"/>
                <w:color w:val="000000" w:themeColor="text1"/>
                <w:szCs w:val="16"/>
              </w:rPr>
              <w:t>1,809</w:t>
            </w:r>
          </w:p>
          <w:p w14:paraId="70072E1D" w14:textId="45212F0F" w:rsidR="00CC3A85" w:rsidRPr="00781112" w:rsidRDefault="00CC3A85" w:rsidP="00A018D4">
            <w:pPr>
              <w:jc w:val="center"/>
              <w:rPr>
                <w:rFonts w:cs="Arial"/>
                <w:color w:val="000000" w:themeColor="text1"/>
                <w:szCs w:val="16"/>
              </w:rPr>
            </w:pPr>
          </w:p>
        </w:tc>
        <w:tc>
          <w:tcPr>
            <w:tcW w:w="518" w:type="pct"/>
            <w:shd w:val="clear" w:color="auto" w:fill="auto"/>
            <w:vAlign w:val="center"/>
          </w:tcPr>
          <w:p w14:paraId="5E80FF00" w14:textId="1218B9E8" w:rsidR="00CF6742" w:rsidRPr="00781112" w:rsidRDefault="002B7490" w:rsidP="00A018D4">
            <w:pPr>
              <w:jc w:val="center"/>
              <w:rPr>
                <w:rFonts w:cs="Arial"/>
                <w:color w:val="000000" w:themeColor="text1"/>
                <w:szCs w:val="16"/>
              </w:rPr>
            </w:pPr>
            <w:r w:rsidRPr="00781112">
              <w:rPr>
                <w:rFonts w:cs="Arial"/>
                <w:color w:val="000000" w:themeColor="text1"/>
                <w:szCs w:val="16"/>
              </w:rPr>
              <w:t>4,982</w:t>
            </w:r>
          </w:p>
        </w:tc>
        <w:tc>
          <w:tcPr>
            <w:tcW w:w="518" w:type="pct"/>
            <w:shd w:val="clear" w:color="auto" w:fill="auto"/>
            <w:vAlign w:val="center"/>
          </w:tcPr>
          <w:p w14:paraId="15C39591" w14:textId="59A0B140" w:rsidR="00CF6742" w:rsidRPr="00781112" w:rsidRDefault="002B7490" w:rsidP="00A018D4">
            <w:pPr>
              <w:jc w:val="center"/>
              <w:rPr>
                <w:rFonts w:cs="Arial"/>
                <w:color w:val="000000" w:themeColor="text1"/>
                <w:szCs w:val="16"/>
              </w:rPr>
            </w:pPr>
            <w:r w:rsidRPr="00781112">
              <w:rPr>
                <w:rFonts w:cs="Arial"/>
                <w:color w:val="000000" w:themeColor="text1"/>
                <w:szCs w:val="16"/>
              </w:rPr>
              <w:t>35.65%</w:t>
            </w:r>
          </w:p>
        </w:tc>
        <w:tc>
          <w:tcPr>
            <w:tcW w:w="518" w:type="pct"/>
            <w:shd w:val="clear" w:color="auto" w:fill="auto"/>
            <w:vAlign w:val="center"/>
          </w:tcPr>
          <w:p w14:paraId="0B4DAB1A" w14:textId="6A306EF5" w:rsidR="00CF6742" w:rsidRPr="00781112" w:rsidRDefault="002B7490" w:rsidP="00A018D4">
            <w:pPr>
              <w:jc w:val="center"/>
              <w:rPr>
                <w:rFonts w:cs="Arial"/>
                <w:color w:val="000000" w:themeColor="text1"/>
                <w:szCs w:val="16"/>
              </w:rPr>
            </w:pPr>
            <w:r w:rsidRPr="00781112">
              <w:rPr>
                <w:rFonts w:cs="Arial"/>
                <w:color w:val="000000" w:themeColor="text1"/>
                <w:szCs w:val="16"/>
              </w:rPr>
              <w:t>35.00%</w:t>
            </w:r>
          </w:p>
        </w:tc>
        <w:tc>
          <w:tcPr>
            <w:tcW w:w="518" w:type="pct"/>
            <w:shd w:val="clear" w:color="auto" w:fill="auto"/>
            <w:vAlign w:val="center"/>
          </w:tcPr>
          <w:p w14:paraId="3DA9CC9A" w14:textId="5BC63CA2" w:rsidR="00CF6742" w:rsidRPr="00781112" w:rsidRDefault="002B7490" w:rsidP="00A018D4">
            <w:pPr>
              <w:jc w:val="center"/>
              <w:rPr>
                <w:rFonts w:cs="Arial"/>
                <w:color w:val="000000" w:themeColor="text1"/>
                <w:szCs w:val="16"/>
              </w:rPr>
            </w:pPr>
            <w:r w:rsidRPr="00781112">
              <w:rPr>
                <w:rFonts w:cs="Arial"/>
                <w:color w:val="000000" w:themeColor="text1"/>
                <w:szCs w:val="16"/>
              </w:rPr>
              <w:t>36.31%</w:t>
            </w:r>
          </w:p>
        </w:tc>
        <w:tc>
          <w:tcPr>
            <w:tcW w:w="518" w:type="pct"/>
            <w:shd w:val="clear" w:color="auto" w:fill="auto"/>
            <w:vAlign w:val="center"/>
          </w:tcPr>
          <w:p w14:paraId="361B06B7" w14:textId="5F10F78E"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5DD5AFE" w14:textId="28F5E139"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203C22FB" w14:textId="77777777" w:rsidTr="007239EC">
        <w:trPr>
          <w:trHeight w:val="361"/>
        </w:trPr>
        <w:tc>
          <w:tcPr>
            <w:tcW w:w="1373" w:type="pct"/>
            <w:shd w:val="clear" w:color="auto" w:fill="auto"/>
            <w:vAlign w:val="center"/>
          </w:tcPr>
          <w:p w14:paraId="79CB9C36" w14:textId="6C0925E8"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B. Separate special education class, separate school or residential facility</w:t>
            </w:r>
          </w:p>
        </w:tc>
        <w:tc>
          <w:tcPr>
            <w:tcW w:w="518" w:type="pct"/>
            <w:shd w:val="clear" w:color="auto" w:fill="auto"/>
            <w:vAlign w:val="center"/>
          </w:tcPr>
          <w:p w14:paraId="1334ACAB" w14:textId="7BCE0AFD" w:rsidR="00CF6742" w:rsidRPr="00781112" w:rsidRDefault="002B7490" w:rsidP="00A018D4">
            <w:pPr>
              <w:jc w:val="center"/>
              <w:rPr>
                <w:rFonts w:cs="Arial"/>
                <w:color w:val="000000" w:themeColor="text1"/>
                <w:szCs w:val="16"/>
              </w:rPr>
            </w:pPr>
            <w:r w:rsidRPr="00781112">
              <w:rPr>
                <w:rFonts w:cs="Arial"/>
                <w:color w:val="000000" w:themeColor="text1"/>
                <w:szCs w:val="16"/>
              </w:rPr>
              <w:t>977</w:t>
            </w:r>
          </w:p>
        </w:tc>
        <w:tc>
          <w:tcPr>
            <w:tcW w:w="518" w:type="pct"/>
            <w:shd w:val="clear" w:color="auto" w:fill="auto"/>
            <w:vAlign w:val="center"/>
          </w:tcPr>
          <w:p w14:paraId="66D0E912" w14:textId="2A889076" w:rsidR="00CF6742" w:rsidRPr="00781112" w:rsidRDefault="002B7490" w:rsidP="00A018D4">
            <w:pPr>
              <w:jc w:val="center"/>
              <w:rPr>
                <w:rFonts w:cs="Arial"/>
                <w:color w:val="000000" w:themeColor="text1"/>
                <w:szCs w:val="16"/>
              </w:rPr>
            </w:pPr>
            <w:r w:rsidRPr="00781112">
              <w:rPr>
                <w:rFonts w:cs="Arial"/>
                <w:color w:val="000000" w:themeColor="text1"/>
                <w:szCs w:val="16"/>
              </w:rPr>
              <w:t>4,982</w:t>
            </w:r>
          </w:p>
        </w:tc>
        <w:tc>
          <w:tcPr>
            <w:tcW w:w="518" w:type="pct"/>
            <w:shd w:val="clear" w:color="auto" w:fill="auto"/>
            <w:vAlign w:val="center"/>
          </w:tcPr>
          <w:p w14:paraId="778A4648" w14:textId="541ABEC8" w:rsidR="00CF6742" w:rsidRPr="00781112" w:rsidRDefault="002B7490" w:rsidP="00A018D4">
            <w:pPr>
              <w:jc w:val="center"/>
              <w:rPr>
                <w:rFonts w:cs="Arial"/>
                <w:color w:val="000000" w:themeColor="text1"/>
                <w:szCs w:val="16"/>
              </w:rPr>
            </w:pPr>
            <w:r w:rsidRPr="00781112">
              <w:rPr>
                <w:rFonts w:cs="Arial"/>
                <w:color w:val="000000" w:themeColor="text1"/>
                <w:szCs w:val="16"/>
              </w:rPr>
              <w:t>19.22%</w:t>
            </w:r>
          </w:p>
        </w:tc>
        <w:tc>
          <w:tcPr>
            <w:tcW w:w="518" w:type="pct"/>
            <w:shd w:val="clear" w:color="auto" w:fill="auto"/>
            <w:vAlign w:val="center"/>
          </w:tcPr>
          <w:p w14:paraId="0EB723D5" w14:textId="782750AE" w:rsidR="00CF6742" w:rsidRPr="00781112" w:rsidRDefault="002B7490" w:rsidP="00A018D4">
            <w:pPr>
              <w:jc w:val="center"/>
              <w:rPr>
                <w:rFonts w:cs="Arial"/>
                <w:color w:val="000000" w:themeColor="text1"/>
                <w:szCs w:val="16"/>
              </w:rPr>
            </w:pPr>
            <w:r w:rsidRPr="00781112">
              <w:rPr>
                <w:rFonts w:cs="Arial"/>
                <w:color w:val="000000" w:themeColor="text1"/>
                <w:szCs w:val="16"/>
              </w:rPr>
              <w:t>19.50%</w:t>
            </w:r>
          </w:p>
        </w:tc>
        <w:tc>
          <w:tcPr>
            <w:tcW w:w="518" w:type="pct"/>
            <w:shd w:val="clear" w:color="auto" w:fill="auto"/>
            <w:vAlign w:val="center"/>
          </w:tcPr>
          <w:p w14:paraId="22E6569B" w14:textId="5DC635D1" w:rsidR="00CF6742" w:rsidRPr="00781112" w:rsidRDefault="002B7490" w:rsidP="00A018D4">
            <w:pPr>
              <w:jc w:val="center"/>
              <w:rPr>
                <w:rFonts w:cs="Arial"/>
                <w:color w:val="000000" w:themeColor="text1"/>
                <w:szCs w:val="16"/>
              </w:rPr>
            </w:pPr>
            <w:r w:rsidRPr="00781112">
              <w:rPr>
                <w:rFonts w:cs="Arial"/>
                <w:color w:val="000000" w:themeColor="text1"/>
                <w:szCs w:val="16"/>
              </w:rPr>
              <w:t>19.61%</w:t>
            </w:r>
          </w:p>
        </w:tc>
        <w:tc>
          <w:tcPr>
            <w:tcW w:w="518" w:type="pct"/>
            <w:shd w:val="clear" w:color="auto" w:fill="auto"/>
            <w:vAlign w:val="center"/>
          </w:tcPr>
          <w:p w14:paraId="799542EF" w14:textId="180B78FB" w:rsidR="00CF674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18" w:type="pct"/>
            <w:shd w:val="clear" w:color="auto" w:fill="auto"/>
            <w:vAlign w:val="center"/>
          </w:tcPr>
          <w:p w14:paraId="6E35C7BA" w14:textId="0B2CF7CC"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7419E3" w:rsidRPr="00781112" w14:paraId="70135A14" w14:textId="77777777" w:rsidTr="007239EC">
        <w:trPr>
          <w:trHeight w:val="361"/>
        </w:trPr>
        <w:tc>
          <w:tcPr>
            <w:tcW w:w="1373" w:type="pct"/>
            <w:shd w:val="clear" w:color="auto" w:fill="auto"/>
            <w:vAlign w:val="center"/>
          </w:tcPr>
          <w:p w14:paraId="72DCC796" w14:textId="256E58C0"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lastRenderedPageBreak/>
              <w:t>C. Home</w:t>
            </w:r>
          </w:p>
        </w:tc>
        <w:tc>
          <w:tcPr>
            <w:tcW w:w="518" w:type="pct"/>
            <w:shd w:val="clear" w:color="auto" w:fill="auto"/>
            <w:vAlign w:val="center"/>
          </w:tcPr>
          <w:p w14:paraId="1AE1B656" w14:textId="4AA764F4" w:rsidR="007419E3" w:rsidRPr="00781112" w:rsidRDefault="007419E3" w:rsidP="007419E3">
            <w:pPr>
              <w:jc w:val="center"/>
              <w:rPr>
                <w:rFonts w:cs="Arial"/>
                <w:color w:val="000000" w:themeColor="text1"/>
                <w:szCs w:val="16"/>
              </w:rPr>
            </w:pPr>
            <w:r w:rsidRPr="00781112">
              <w:rPr>
                <w:rFonts w:cs="Arial"/>
                <w:color w:val="000000" w:themeColor="text1"/>
                <w:szCs w:val="16"/>
              </w:rPr>
              <w:t>28</w:t>
            </w:r>
          </w:p>
        </w:tc>
        <w:tc>
          <w:tcPr>
            <w:tcW w:w="518" w:type="pct"/>
            <w:shd w:val="clear" w:color="auto" w:fill="auto"/>
            <w:vAlign w:val="center"/>
          </w:tcPr>
          <w:p w14:paraId="601CC9FF" w14:textId="0C166449" w:rsidR="007419E3" w:rsidRPr="00781112" w:rsidRDefault="007419E3" w:rsidP="007419E3">
            <w:pPr>
              <w:jc w:val="center"/>
              <w:rPr>
                <w:rFonts w:cs="Arial"/>
                <w:color w:val="000000" w:themeColor="text1"/>
                <w:szCs w:val="16"/>
              </w:rPr>
            </w:pPr>
            <w:r w:rsidRPr="00781112">
              <w:rPr>
                <w:rFonts w:cs="Arial"/>
                <w:color w:val="000000" w:themeColor="text1"/>
                <w:szCs w:val="16"/>
              </w:rPr>
              <w:t>4,982</w:t>
            </w:r>
          </w:p>
        </w:tc>
        <w:tc>
          <w:tcPr>
            <w:tcW w:w="518" w:type="pct"/>
            <w:shd w:val="clear" w:color="auto" w:fill="auto"/>
            <w:vAlign w:val="center"/>
          </w:tcPr>
          <w:p w14:paraId="4B7E23C9" w14:textId="2143D885" w:rsidR="007419E3" w:rsidRPr="00781112" w:rsidRDefault="007419E3" w:rsidP="007419E3">
            <w:pPr>
              <w:jc w:val="center"/>
              <w:rPr>
                <w:rFonts w:cs="Arial"/>
                <w:color w:val="000000" w:themeColor="text1"/>
                <w:szCs w:val="16"/>
              </w:rPr>
            </w:pPr>
            <w:r w:rsidRPr="00781112">
              <w:rPr>
                <w:rFonts w:cs="Arial"/>
                <w:color w:val="000000" w:themeColor="text1"/>
                <w:szCs w:val="16"/>
              </w:rPr>
              <w:t>1.02%</w:t>
            </w:r>
          </w:p>
        </w:tc>
        <w:tc>
          <w:tcPr>
            <w:tcW w:w="518" w:type="pct"/>
            <w:shd w:val="clear" w:color="auto" w:fill="auto"/>
            <w:vAlign w:val="center"/>
          </w:tcPr>
          <w:p w14:paraId="412FC24B" w14:textId="2D7F91B3" w:rsidR="007419E3" w:rsidRPr="00781112" w:rsidRDefault="007419E3" w:rsidP="007419E3">
            <w:pPr>
              <w:jc w:val="center"/>
              <w:rPr>
                <w:rFonts w:cs="Arial"/>
                <w:color w:val="000000" w:themeColor="text1"/>
                <w:szCs w:val="16"/>
              </w:rPr>
            </w:pPr>
            <w:r w:rsidRPr="00781112">
              <w:rPr>
                <w:rFonts w:cs="Arial"/>
                <w:color w:val="000000" w:themeColor="text1"/>
                <w:szCs w:val="16"/>
              </w:rPr>
              <w:t>1.01%</w:t>
            </w:r>
          </w:p>
        </w:tc>
        <w:tc>
          <w:tcPr>
            <w:tcW w:w="518" w:type="pct"/>
            <w:shd w:val="clear" w:color="auto" w:fill="auto"/>
            <w:vAlign w:val="center"/>
          </w:tcPr>
          <w:p w14:paraId="603D7CC7" w14:textId="713E97DD" w:rsidR="007419E3" w:rsidRPr="00781112" w:rsidRDefault="007419E3" w:rsidP="007419E3">
            <w:pPr>
              <w:jc w:val="center"/>
              <w:rPr>
                <w:rFonts w:cs="Arial"/>
                <w:color w:val="000000" w:themeColor="text1"/>
                <w:szCs w:val="16"/>
              </w:rPr>
            </w:pPr>
            <w:r w:rsidRPr="00781112">
              <w:rPr>
                <w:rFonts w:cs="Arial"/>
                <w:color w:val="000000" w:themeColor="text1"/>
                <w:szCs w:val="16"/>
              </w:rPr>
              <w:t>0.56%</w:t>
            </w:r>
          </w:p>
        </w:tc>
        <w:tc>
          <w:tcPr>
            <w:tcW w:w="518" w:type="pct"/>
            <w:shd w:val="clear" w:color="auto" w:fill="auto"/>
            <w:vAlign w:val="center"/>
          </w:tcPr>
          <w:p w14:paraId="31E8CDB6" w14:textId="7E73D59A" w:rsidR="007419E3" w:rsidRPr="00781112" w:rsidRDefault="007419E3" w:rsidP="007419E3">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B289CC7" w14:textId="072E6906" w:rsidR="007419E3" w:rsidRPr="00781112" w:rsidRDefault="007419E3" w:rsidP="007419E3">
            <w:pPr>
              <w:jc w:val="center"/>
              <w:rPr>
                <w:rFonts w:cs="Arial"/>
                <w:color w:val="000000" w:themeColor="text1"/>
                <w:szCs w:val="16"/>
              </w:rPr>
            </w:pPr>
            <w:r w:rsidRPr="00781112">
              <w:rPr>
                <w:rFonts w:cs="Arial"/>
                <w:color w:val="000000" w:themeColor="text1"/>
                <w:szCs w:val="16"/>
              </w:rPr>
              <w:t>No Slippage</w:t>
            </w:r>
          </w:p>
        </w:tc>
      </w:tr>
    </w:tbl>
    <w:p w14:paraId="21FD52FD" w14:textId="53DF3EF1" w:rsidR="002441FF" w:rsidRDefault="002441FF" w:rsidP="004369B2">
      <w:pPr>
        <w:rPr>
          <w:b/>
          <w:color w:val="000000" w:themeColor="text1"/>
        </w:rPr>
      </w:pPr>
    </w:p>
    <w:p w14:paraId="1157162F" w14:textId="77777777" w:rsidR="002441FF" w:rsidRPr="00781112" w:rsidRDefault="002441FF" w:rsidP="002441FF">
      <w:pPr>
        <w:rPr>
          <w:rFonts w:cs="Arial"/>
          <w:color w:val="000000" w:themeColor="text1"/>
          <w:szCs w:val="16"/>
        </w:rPr>
      </w:pPr>
    </w:p>
    <w:p w14:paraId="11B24ABD"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5D7B4D4" w14:textId="54FAD054" w:rsidR="003C308E" w:rsidRPr="00781112" w:rsidRDefault="003C308E" w:rsidP="007D435F">
      <w:pPr>
        <w:rPr>
          <w:rFonts w:cs="Arial"/>
          <w:color w:val="000000" w:themeColor="text1"/>
          <w:szCs w:val="16"/>
        </w:rPr>
      </w:pPr>
    </w:p>
    <w:p w14:paraId="7DD4BC1C" w14:textId="33DA668A" w:rsidR="000A2C83" w:rsidRPr="00781112" w:rsidRDefault="00C96236" w:rsidP="008645AD">
      <w:pPr>
        <w:pStyle w:val="Heading2"/>
      </w:pPr>
      <w:r w:rsidRPr="00781112">
        <w:t>6</w:t>
      </w:r>
      <w:r w:rsidR="00C91B94" w:rsidRPr="00781112">
        <w:t xml:space="preserve"> </w:t>
      </w:r>
      <w:r w:rsidRPr="00781112">
        <w:t xml:space="preserve">- </w:t>
      </w:r>
      <w:r w:rsidR="000A2C83" w:rsidRPr="00781112">
        <w:t>Prior FFY Required Actions</w:t>
      </w:r>
    </w:p>
    <w:p w14:paraId="566E0CF8" w14:textId="64232129" w:rsidR="00B1280F" w:rsidRPr="00781112" w:rsidRDefault="002B7490" w:rsidP="000A2C83">
      <w:pPr>
        <w:rPr>
          <w:rFonts w:cs="Arial"/>
          <w:color w:val="000000" w:themeColor="text1"/>
          <w:szCs w:val="16"/>
        </w:rPr>
      </w:pPr>
      <w:r w:rsidRPr="00781112">
        <w:rPr>
          <w:rFonts w:cs="Arial"/>
          <w:color w:val="000000" w:themeColor="text1"/>
          <w:szCs w:val="16"/>
        </w:rPr>
        <w:t>None</w:t>
      </w:r>
    </w:p>
    <w:p w14:paraId="7B71DC87" w14:textId="5C9C7EF8" w:rsidR="00221EC9" w:rsidRPr="00781112" w:rsidRDefault="00C96236" w:rsidP="008645AD">
      <w:pPr>
        <w:pStyle w:val="Heading2"/>
      </w:pPr>
      <w:r w:rsidRPr="00781112">
        <w:t>6 - OSEP Response</w:t>
      </w:r>
    </w:p>
    <w:p w14:paraId="39CF981B" w14:textId="16EA9F6F" w:rsidR="003C308E" w:rsidRPr="00781112" w:rsidRDefault="003C308E" w:rsidP="001F692C">
      <w:pPr>
        <w:rPr>
          <w:rFonts w:cs="Arial"/>
          <w:color w:val="000000" w:themeColor="text1"/>
          <w:szCs w:val="16"/>
        </w:rPr>
      </w:pPr>
    </w:p>
    <w:p w14:paraId="6337E261" w14:textId="7ABFCAD4" w:rsidR="00221EC9" w:rsidRPr="00781112" w:rsidRDefault="00C96236" w:rsidP="008645AD">
      <w:pPr>
        <w:pStyle w:val="Heading2"/>
      </w:pPr>
      <w:r w:rsidRPr="00781112">
        <w:t>6 - Required Actions</w:t>
      </w:r>
    </w:p>
    <w:p w14:paraId="4D0B397A" w14:textId="4B808E74" w:rsidR="003C308E" w:rsidRPr="00781112" w:rsidRDefault="003C308E" w:rsidP="001F692C">
      <w:pPr>
        <w:rPr>
          <w:rFonts w:cs="Arial"/>
          <w:color w:val="000000" w:themeColor="text1"/>
          <w:szCs w:val="16"/>
        </w:rPr>
      </w:pPr>
    </w:p>
    <w:p w14:paraId="2AA7BDE7"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26B1B256" w14:textId="288D5BD8" w:rsidR="00D21EAA" w:rsidRPr="00781112" w:rsidRDefault="00D21EAA" w:rsidP="000444E2">
      <w:pPr>
        <w:pStyle w:val="Heading1"/>
        <w:rPr>
          <w:color w:val="000000" w:themeColor="text1"/>
          <w:sz w:val="22"/>
        </w:rPr>
      </w:pPr>
      <w:r w:rsidRPr="00781112">
        <w:rPr>
          <w:color w:val="000000" w:themeColor="text1"/>
          <w:sz w:val="22"/>
        </w:rPr>
        <w:lastRenderedPageBreak/>
        <w:t>Indicator 7: Preschool Outcomes</w:t>
      </w:r>
      <w:bookmarkEnd w:id="34"/>
      <w:bookmarkEnd w:id="35"/>
    </w:p>
    <w:p w14:paraId="1404DCF9" w14:textId="77777777" w:rsidR="00531E54" w:rsidRPr="00781112" w:rsidRDefault="00531E54" w:rsidP="00A018D4">
      <w:pPr>
        <w:rPr>
          <w:color w:val="000000" w:themeColor="text1"/>
          <w:szCs w:val="20"/>
        </w:rPr>
      </w:pPr>
      <w:bookmarkStart w:id="36" w:name="_Toc392159303"/>
      <w:r w:rsidRPr="00781112">
        <w:rPr>
          <w:b/>
          <w:color w:val="000000" w:themeColor="text1"/>
          <w:sz w:val="20"/>
          <w:szCs w:val="20"/>
        </w:rPr>
        <w:t>Instructions and Measurement</w:t>
      </w:r>
    </w:p>
    <w:p w14:paraId="0A136297" w14:textId="4837554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4B9EA10"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0B552BED" w14:textId="43FF9A0A"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
    <w:p w14:paraId="5D82DAD8" w14:textId="740E047B"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00126FB5" w14:textId="7254CF8C"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5E54210F"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64F847A6" w14:textId="77777777" w:rsidR="008751D3" w:rsidRPr="00781112" w:rsidRDefault="008751D3" w:rsidP="004369B2">
      <w:pPr>
        <w:rPr>
          <w:color w:val="000000" w:themeColor="text1"/>
        </w:rPr>
      </w:pPr>
      <w:r w:rsidRPr="00781112">
        <w:rPr>
          <w:b/>
          <w:color w:val="000000" w:themeColor="text1"/>
        </w:rPr>
        <w:t>Data Source</w:t>
      </w:r>
    </w:p>
    <w:p w14:paraId="23E18A51" w14:textId="0FC94A9E"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1E840531" w14:textId="77777777" w:rsidR="008751D3" w:rsidRPr="00781112" w:rsidRDefault="008751D3" w:rsidP="004369B2">
      <w:pPr>
        <w:rPr>
          <w:color w:val="000000" w:themeColor="text1"/>
        </w:rPr>
      </w:pPr>
      <w:r w:rsidRPr="00781112">
        <w:rPr>
          <w:b/>
          <w:color w:val="000000" w:themeColor="text1"/>
        </w:rPr>
        <w:t>Measurement</w:t>
      </w:r>
    </w:p>
    <w:p w14:paraId="1FF326CF"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4E248912" w14:textId="66BBE7EE"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
    <w:p w14:paraId="6AAB6861" w14:textId="71AC3C7A"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4CD04035" w14:textId="52DADE76"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6C3C0B77"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5690C8BE" w14:textId="36B6DF2C"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14:paraId="0B720C40" w14:textId="2F6D04FB"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14:paraId="314CA3F4" w14:textId="6175AC7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14:paraId="643AA406" w14:textId="25D4946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14:paraId="38B378F6" w14:textId="1E843815"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14:paraId="583435BB"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65FE21E5"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Of those preschool children who entered the preschool program below age expectations in each Outcome, the percent who substantially increased their rate of growth by the time they turned 6 years of age or exited the program.</w:t>
      </w:r>
    </w:p>
    <w:p w14:paraId="5068AAB2" w14:textId="7F65239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5A694282"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14:paraId="34439FE8" w14:textId="2AF97C44"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207DF15E" w14:textId="77777777" w:rsidR="008751D3" w:rsidRPr="00781112" w:rsidRDefault="008751D3" w:rsidP="004369B2">
      <w:pPr>
        <w:rPr>
          <w:color w:val="000000" w:themeColor="text1"/>
        </w:rPr>
      </w:pPr>
      <w:r w:rsidRPr="00781112">
        <w:rPr>
          <w:b/>
          <w:color w:val="000000" w:themeColor="text1"/>
        </w:rPr>
        <w:t>Instructions</w:t>
      </w:r>
    </w:p>
    <w:p w14:paraId="7FEF7064" w14:textId="77777777"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on page 2 for additional instructions on sampling.)</w:t>
      </w:r>
    </w:p>
    <w:p w14:paraId="1FB7B1C7" w14:textId="77777777" w:rsidR="008751D3" w:rsidRPr="00781112" w:rsidRDefault="008751D3" w:rsidP="00286BDF">
      <w:pPr>
        <w:rPr>
          <w:rFonts w:cs="Arial"/>
          <w:color w:val="000000" w:themeColor="text1"/>
          <w:szCs w:val="16"/>
        </w:rPr>
      </w:pPr>
      <w:r w:rsidRPr="00781112">
        <w:rPr>
          <w:rFonts w:cs="Arial"/>
          <w:color w:val="000000" w:themeColor="text1"/>
          <w:szCs w:val="16"/>
        </w:rPr>
        <w:t>In the measurement include, in the numerator and denominator, only children who received special education and related services for at least six months during the age span of three through five years.</w:t>
      </w:r>
    </w:p>
    <w:p w14:paraId="652BE619" w14:textId="77777777" w:rsidR="008751D3" w:rsidRPr="00781112" w:rsidRDefault="008751D3" w:rsidP="00286BDF">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14:paraId="60273FDF" w14:textId="77777777" w:rsidR="008751D3" w:rsidRPr="00781112" w:rsidRDefault="008751D3" w:rsidP="00286BDF">
      <w:pPr>
        <w:rPr>
          <w:rFonts w:cs="Arial"/>
          <w:color w:val="000000" w:themeColor="text1"/>
          <w:szCs w:val="16"/>
        </w:rPr>
      </w:pPr>
      <w:r w:rsidRPr="00781112">
        <w:rPr>
          <w:rFonts w:cs="Arial"/>
          <w:color w:val="000000" w:themeColor="text1"/>
          <w:szCs w:val="16"/>
        </w:rPr>
        <w:t>Report progress data and calculate Summary Statements to compare against the six targets. Provide the actual numbers and percentages for the five reporting categories for each of the three outcomes.</w:t>
      </w:r>
    </w:p>
    <w:p w14:paraId="5CCA3257"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53FA15C3"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36"/>
    <w:p w14:paraId="55101798" w14:textId="340B2E8D" w:rsidR="00DF6E30" w:rsidRPr="00781112" w:rsidRDefault="00C96236" w:rsidP="008645AD">
      <w:pPr>
        <w:pStyle w:val="Heading2"/>
      </w:pPr>
      <w:r w:rsidRPr="00781112">
        <w:t>7</w:t>
      </w:r>
      <w:r w:rsidR="00444A9D" w:rsidRPr="00781112">
        <w:t xml:space="preserve"> </w:t>
      </w:r>
      <w:r w:rsidRPr="00781112">
        <w:t xml:space="preserve">- </w:t>
      </w:r>
      <w:r w:rsidR="00DF6E30" w:rsidRPr="00781112">
        <w:t>Indicator Data</w:t>
      </w:r>
    </w:p>
    <w:p w14:paraId="5AA4EA63" w14:textId="77777777" w:rsidR="0091098C" w:rsidRPr="00781112" w:rsidRDefault="0091098C" w:rsidP="004369B2">
      <w:pPr>
        <w:rPr>
          <w:color w:val="000000" w:themeColor="text1"/>
        </w:rPr>
      </w:pPr>
      <w:r w:rsidRPr="00781112">
        <w:rPr>
          <w:b/>
          <w:color w:val="000000" w:themeColor="text1"/>
        </w:rPr>
        <w:t>Not Applicable</w:t>
      </w:r>
    </w:p>
    <w:p w14:paraId="284C9B1A" w14:textId="32C218D6" w:rsidR="002D30ED" w:rsidRPr="00781112" w:rsidRDefault="00E54DDA">
      <w:pPr>
        <w:rPr>
          <w:b/>
          <w:color w:val="000000" w:themeColor="text1"/>
        </w:rPr>
      </w:pPr>
      <w:r w:rsidRPr="00781112">
        <w:rPr>
          <w:b/>
          <w:color w:val="000000" w:themeColor="text1"/>
        </w:rPr>
        <w:t>Select yes if this indicator is not applicable.</w:t>
      </w:r>
    </w:p>
    <w:p w14:paraId="400C4A0C" w14:textId="693F71F3" w:rsidR="00043AC9" w:rsidRPr="00781112" w:rsidRDefault="00043AC9" w:rsidP="004369B2">
      <w:pPr>
        <w:rPr>
          <w:rFonts w:cs="Arial"/>
          <w:color w:val="000000" w:themeColor="text1"/>
          <w:szCs w:val="16"/>
        </w:rPr>
      </w:pPr>
      <w:r w:rsidRPr="00781112">
        <w:rPr>
          <w:rFonts w:cs="Arial"/>
          <w:color w:val="000000" w:themeColor="text1"/>
          <w:szCs w:val="16"/>
        </w:rPr>
        <w:t>NO</w:t>
      </w:r>
    </w:p>
    <w:p w14:paraId="2D4ABD95" w14:textId="015EAF2F" w:rsidR="002D30ED" w:rsidRPr="00781112" w:rsidRDefault="002D30ED">
      <w:pPr>
        <w:rPr>
          <w:color w:val="000000" w:themeColor="text1"/>
        </w:rPr>
      </w:pPr>
    </w:p>
    <w:p w14:paraId="50CA9D39" w14:textId="3128BDB0"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67761B76" w14:textId="2BE890F9" w:rsidTr="009023AD">
        <w:trPr>
          <w:trHeight w:val="395"/>
        </w:trPr>
        <w:tc>
          <w:tcPr>
            <w:tcW w:w="248" w:type="pct"/>
            <w:tcBorders>
              <w:top w:val="single" w:sz="4" w:space="0" w:color="auto"/>
              <w:left w:val="single" w:sz="4" w:space="0" w:color="auto"/>
              <w:bottom w:val="single" w:sz="4" w:space="0" w:color="auto"/>
              <w:right w:val="single" w:sz="4" w:space="0" w:color="auto"/>
            </w:tcBorders>
            <w:shd w:val="clear" w:color="auto" w:fill="auto"/>
          </w:tcPr>
          <w:p w14:paraId="07FE7D96" w14:textId="48B4F674"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t>Part</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92489DB" w14:textId="6B491234"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19C97066"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5FE9CABA" w14:textId="781A1A3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2016</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27131AF6" w14:textId="0E6C2E5A"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2017</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2FE1D98" w14:textId="03E0AC83"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2018</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09C21BFA" w14:textId="46B34AA6"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14:paraId="76B7EB6E" w14:textId="46F53E4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2020</w:t>
            </w:r>
          </w:p>
        </w:tc>
      </w:tr>
      <w:tr w:rsidR="005F0D3B" w:rsidRPr="00781112" w14:paraId="6B7CE9C8" w14:textId="0609FA3D"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390860C6"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shd w:val="clear" w:color="auto" w:fill="auto"/>
            <w:vAlign w:val="center"/>
          </w:tcPr>
          <w:p w14:paraId="11755CC8" w14:textId="0D3DAA4A" w:rsidR="00CF6742"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517C1" w14:textId="06B8B15D"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D1D42AB" w14:textId="2A4E5CB4" w:rsidR="00CF6742" w:rsidRPr="00781112" w:rsidRDefault="002B7490" w:rsidP="00A018D4">
            <w:pPr>
              <w:jc w:val="center"/>
              <w:rPr>
                <w:rFonts w:cs="Arial"/>
                <w:color w:val="000000" w:themeColor="text1"/>
                <w:szCs w:val="16"/>
              </w:rPr>
            </w:pPr>
            <w:r w:rsidRPr="00781112">
              <w:rPr>
                <w:rFonts w:cs="Arial"/>
                <w:color w:val="000000" w:themeColor="text1"/>
                <w:szCs w:val="16"/>
              </w:rPr>
              <w:t>90.00%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93881D" w14:textId="33AA4D0C" w:rsidR="00CF6742" w:rsidRPr="00781112" w:rsidRDefault="002B7490" w:rsidP="00A018D4">
            <w:pPr>
              <w:jc w:val="center"/>
              <w:rPr>
                <w:rFonts w:cs="Arial"/>
                <w:color w:val="000000" w:themeColor="text1"/>
                <w:szCs w:val="16"/>
              </w:rPr>
            </w:pPr>
            <w:r w:rsidRPr="00781112">
              <w:rPr>
                <w:rFonts w:cs="Arial"/>
                <w:color w:val="000000" w:themeColor="text1"/>
                <w:szCs w:val="16"/>
              </w:rPr>
              <w:t>90.50%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4D9B341" w14:textId="54BEF16A" w:rsidR="00CF6742" w:rsidRPr="00781112" w:rsidRDefault="002B7490" w:rsidP="00A018D4">
            <w:pPr>
              <w:jc w:val="center"/>
              <w:rPr>
                <w:rFonts w:cs="Arial"/>
                <w:color w:val="000000" w:themeColor="text1"/>
                <w:szCs w:val="16"/>
              </w:rPr>
            </w:pPr>
            <w:r w:rsidRPr="00781112">
              <w:rPr>
                <w:rFonts w:cs="Arial"/>
                <w:color w:val="000000" w:themeColor="text1"/>
                <w:szCs w:val="16"/>
              </w:rPr>
              <w:t>93.40%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EBE7BAF" w14:textId="70BEE6C5" w:rsidR="00CF6742" w:rsidRPr="00781112" w:rsidRDefault="002B7490" w:rsidP="00A018D4">
            <w:pPr>
              <w:jc w:val="center"/>
              <w:rPr>
                <w:rFonts w:cs="Arial"/>
                <w:color w:val="000000" w:themeColor="text1"/>
                <w:szCs w:val="16"/>
              </w:rPr>
            </w:pPr>
            <w:r w:rsidRPr="00781112">
              <w:rPr>
                <w:rFonts w:cs="Arial"/>
                <w:color w:val="000000" w:themeColor="text1"/>
                <w:szCs w:val="16"/>
              </w:rPr>
              <w:t>93.40%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9BD5D1" w14:textId="20C3AA4E" w:rsidR="00CF6742" w:rsidRPr="00781112" w:rsidRDefault="002B7490" w:rsidP="00A018D4">
            <w:pPr>
              <w:jc w:val="center"/>
              <w:rPr>
                <w:rFonts w:cs="Arial"/>
                <w:color w:val="000000" w:themeColor="text1"/>
                <w:szCs w:val="16"/>
              </w:rPr>
            </w:pPr>
            <w:r w:rsidRPr="00781112">
              <w:rPr>
                <w:rFonts w:cs="Arial"/>
                <w:color w:val="000000" w:themeColor="text1"/>
                <w:szCs w:val="16"/>
              </w:rPr>
              <w:t>93.50%</w:t>
            </w:r>
          </w:p>
        </w:tc>
      </w:tr>
      <w:tr w:rsidR="005F0D3B" w:rsidRPr="00781112" w14:paraId="1273980B" w14:textId="53318F32" w:rsidTr="009023AD">
        <w:trPr>
          <w:trHeight w:val="70"/>
        </w:trPr>
        <w:tc>
          <w:tcPr>
            <w:tcW w:w="248" w:type="pct"/>
            <w:tcBorders>
              <w:left w:val="single" w:sz="4" w:space="0" w:color="auto"/>
              <w:right w:val="single" w:sz="4" w:space="0" w:color="auto"/>
            </w:tcBorders>
            <w:shd w:val="clear" w:color="auto" w:fill="auto"/>
            <w:vAlign w:val="center"/>
          </w:tcPr>
          <w:p w14:paraId="32218C67" w14:textId="38A3EC13"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shd w:val="clear" w:color="auto" w:fill="auto"/>
            <w:vAlign w:val="center"/>
          </w:tcPr>
          <w:p w14:paraId="4C1410E0" w14:textId="3EB7FCEC" w:rsidR="00CF6742" w:rsidRPr="00781112" w:rsidRDefault="002B7490" w:rsidP="00A018D4">
            <w:pPr>
              <w:jc w:val="center"/>
              <w:rPr>
                <w:rFonts w:cs="Arial"/>
                <w:color w:val="000000" w:themeColor="text1"/>
                <w:szCs w:val="16"/>
              </w:rPr>
            </w:pPr>
            <w:r w:rsidRPr="00781112">
              <w:rPr>
                <w:rFonts w:cs="Arial"/>
                <w:color w:val="000000" w:themeColor="text1"/>
                <w:szCs w:val="16"/>
              </w:rPr>
              <w:t>93.30%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849D3" w14:textId="77777777"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95056F" w14:textId="336EBB2F" w:rsidR="00CF6742" w:rsidRPr="00781112" w:rsidRDefault="002B7490" w:rsidP="00A018D4">
            <w:pPr>
              <w:jc w:val="center"/>
              <w:rPr>
                <w:rFonts w:cs="Arial"/>
                <w:color w:val="000000" w:themeColor="text1"/>
                <w:szCs w:val="16"/>
              </w:rPr>
            </w:pPr>
            <w:r w:rsidRPr="00781112">
              <w:rPr>
                <w:rFonts w:cs="Arial"/>
                <w:color w:val="000000" w:themeColor="text1"/>
                <w:szCs w:val="16"/>
              </w:rPr>
              <w:t>92.95%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BFE4EBC" w14:textId="3A0FBE8F" w:rsidR="00CF6742" w:rsidRPr="00781112" w:rsidRDefault="002B7490" w:rsidP="00A018D4">
            <w:pPr>
              <w:jc w:val="center"/>
              <w:rPr>
                <w:rFonts w:cs="Arial"/>
                <w:color w:val="000000" w:themeColor="text1"/>
                <w:szCs w:val="16"/>
              </w:rPr>
            </w:pPr>
            <w:r w:rsidRPr="00781112">
              <w:rPr>
                <w:rFonts w:cs="Arial"/>
                <w:color w:val="000000" w:themeColor="text1"/>
                <w:szCs w:val="16"/>
              </w:rPr>
              <w:t>93.43%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1F7337" w14:textId="090E4E8B" w:rsidR="00CF6742" w:rsidRPr="00781112" w:rsidRDefault="002B7490" w:rsidP="00A018D4">
            <w:pPr>
              <w:jc w:val="center"/>
              <w:rPr>
                <w:rFonts w:cs="Arial"/>
                <w:color w:val="000000" w:themeColor="text1"/>
                <w:szCs w:val="16"/>
              </w:rPr>
            </w:pPr>
            <w:r w:rsidRPr="00781112">
              <w:rPr>
                <w:rFonts w:cs="Arial"/>
                <w:color w:val="000000" w:themeColor="text1"/>
                <w:szCs w:val="16"/>
              </w:rPr>
              <w:t>93.53%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93D48E" w14:textId="04E7CEC4" w:rsidR="00CF6742" w:rsidRPr="00781112" w:rsidRDefault="002B7490" w:rsidP="00A018D4">
            <w:pPr>
              <w:jc w:val="center"/>
              <w:rPr>
                <w:rFonts w:cs="Arial"/>
                <w:color w:val="000000" w:themeColor="text1"/>
                <w:szCs w:val="16"/>
              </w:rPr>
            </w:pPr>
            <w:r w:rsidRPr="00781112">
              <w:rPr>
                <w:rFonts w:cs="Arial"/>
                <w:color w:val="000000" w:themeColor="text1"/>
                <w:szCs w:val="16"/>
              </w:rPr>
              <w:t>94.50%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54E21AE" w14:textId="4BF3E562" w:rsidR="00CF6742" w:rsidRPr="00781112" w:rsidRDefault="002B7490" w:rsidP="00A018D4">
            <w:pPr>
              <w:jc w:val="center"/>
              <w:rPr>
                <w:rFonts w:cs="Arial"/>
                <w:color w:val="000000" w:themeColor="text1"/>
                <w:szCs w:val="16"/>
              </w:rPr>
            </w:pPr>
            <w:r w:rsidRPr="00781112">
              <w:rPr>
                <w:rFonts w:cs="Arial"/>
                <w:color w:val="000000" w:themeColor="text1"/>
                <w:szCs w:val="16"/>
              </w:rPr>
              <w:t>94.80%</w:t>
            </w:r>
          </w:p>
        </w:tc>
      </w:tr>
      <w:tr w:rsidR="005F0D3B" w:rsidRPr="00781112" w14:paraId="0B3AB2AF" w14:textId="0ED8043B"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779C8614"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lastRenderedPageBreak/>
              <w:t>A2</w:t>
            </w:r>
          </w:p>
        </w:tc>
        <w:tc>
          <w:tcPr>
            <w:tcW w:w="437" w:type="pct"/>
            <w:tcBorders>
              <w:top w:val="single" w:sz="4" w:space="0" w:color="auto"/>
              <w:left w:val="single" w:sz="4" w:space="0" w:color="auto"/>
              <w:right w:val="single" w:sz="4" w:space="0" w:color="auto"/>
            </w:tcBorders>
            <w:shd w:val="clear" w:color="auto" w:fill="auto"/>
            <w:vAlign w:val="center"/>
          </w:tcPr>
          <w:p w14:paraId="4AD0B449" w14:textId="16D6804E" w:rsidR="00CF6742"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13AA6" w14:textId="7F510C2D"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B53BBE3" w14:textId="7A5F9A90" w:rsidR="00CF6742" w:rsidRPr="00781112" w:rsidRDefault="002B7490" w:rsidP="00A018D4">
            <w:pPr>
              <w:jc w:val="center"/>
              <w:rPr>
                <w:rFonts w:cs="Arial"/>
                <w:color w:val="000000" w:themeColor="text1"/>
                <w:szCs w:val="16"/>
              </w:rPr>
            </w:pPr>
            <w:r w:rsidRPr="00781112">
              <w:rPr>
                <w:rFonts w:cs="Arial"/>
                <w:color w:val="000000" w:themeColor="text1"/>
                <w:szCs w:val="16"/>
              </w:rPr>
              <w:t>58.50%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5BB52D" w14:textId="145AACFA" w:rsidR="00CF6742" w:rsidRPr="00781112" w:rsidRDefault="002B7490" w:rsidP="00A018D4">
            <w:pPr>
              <w:jc w:val="center"/>
              <w:rPr>
                <w:rFonts w:cs="Arial"/>
                <w:color w:val="000000" w:themeColor="text1"/>
                <w:szCs w:val="16"/>
              </w:rPr>
            </w:pPr>
            <w:r w:rsidRPr="00781112">
              <w:rPr>
                <w:rFonts w:cs="Arial"/>
                <w:color w:val="000000" w:themeColor="text1"/>
                <w:szCs w:val="16"/>
              </w:rPr>
              <w:t>58.75%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74264A7" w14:textId="7EF45616" w:rsidR="00CF6742" w:rsidRPr="00781112" w:rsidRDefault="002B7490" w:rsidP="00A018D4">
            <w:pPr>
              <w:jc w:val="center"/>
              <w:rPr>
                <w:rFonts w:cs="Arial"/>
                <w:color w:val="000000" w:themeColor="text1"/>
                <w:szCs w:val="16"/>
              </w:rPr>
            </w:pPr>
            <w:r w:rsidRPr="00781112">
              <w:rPr>
                <w:rFonts w:cs="Arial"/>
                <w:color w:val="000000" w:themeColor="text1"/>
                <w:szCs w:val="16"/>
              </w:rPr>
              <w:t>59.00%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91C2453" w14:textId="435017A5" w:rsidR="00CF6742" w:rsidRPr="00781112" w:rsidRDefault="002B7490" w:rsidP="00A018D4">
            <w:pPr>
              <w:jc w:val="center"/>
              <w:rPr>
                <w:rFonts w:cs="Arial"/>
                <w:color w:val="000000" w:themeColor="text1"/>
                <w:szCs w:val="16"/>
              </w:rPr>
            </w:pPr>
            <w:r w:rsidRPr="00781112">
              <w:rPr>
                <w:rFonts w:cs="Arial"/>
                <w:color w:val="000000" w:themeColor="text1"/>
                <w:szCs w:val="16"/>
              </w:rPr>
              <w:t>59.00%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7AA4CD6" w14:textId="54A13C0B" w:rsidR="00CF6742" w:rsidRPr="00781112" w:rsidRDefault="002B7490" w:rsidP="00A018D4">
            <w:pPr>
              <w:jc w:val="center"/>
              <w:rPr>
                <w:rFonts w:cs="Arial"/>
                <w:color w:val="000000" w:themeColor="text1"/>
                <w:szCs w:val="16"/>
              </w:rPr>
            </w:pPr>
            <w:r w:rsidRPr="00781112">
              <w:rPr>
                <w:rFonts w:cs="Arial"/>
                <w:color w:val="000000" w:themeColor="text1"/>
                <w:szCs w:val="16"/>
              </w:rPr>
              <w:t>60.00%</w:t>
            </w:r>
          </w:p>
        </w:tc>
      </w:tr>
      <w:tr w:rsidR="005F0D3B" w:rsidRPr="00781112" w14:paraId="1D11B386" w14:textId="42BD85F0" w:rsidTr="009023AD">
        <w:trPr>
          <w:trHeight w:val="85"/>
        </w:trPr>
        <w:tc>
          <w:tcPr>
            <w:tcW w:w="248" w:type="pct"/>
            <w:tcBorders>
              <w:left w:val="single" w:sz="4" w:space="0" w:color="auto"/>
              <w:right w:val="single" w:sz="4" w:space="0" w:color="auto"/>
            </w:tcBorders>
            <w:shd w:val="clear" w:color="auto" w:fill="auto"/>
            <w:vAlign w:val="center"/>
          </w:tcPr>
          <w:p w14:paraId="65E595DA" w14:textId="7544B3DB"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left w:val="single" w:sz="4" w:space="0" w:color="auto"/>
              <w:right w:val="single" w:sz="4" w:space="0" w:color="auto"/>
            </w:tcBorders>
            <w:shd w:val="clear" w:color="auto" w:fill="auto"/>
            <w:vAlign w:val="center"/>
          </w:tcPr>
          <w:p w14:paraId="33B2AFD7" w14:textId="45496AC0" w:rsidR="00CF6742" w:rsidRPr="00781112" w:rsidRDefault="002B7490" w:rsidP="00A018D4">
            <w:pPr>
              <w:jc w:val="center"/>
              <w:rPr>
                <w:rFonts w:cs="Arial"/>
                <w:color w:val="000000" w:themeColor="text1"/>
                <w:szCs w:val="16"/>
              </w:rPr>
            </w:pPr>
            <w:r w:rsidRPr="00781112">
              <w:rPr>
                <w:rFonts w:cs="Arial"/>
                <w:color w:val="000000" w:themeColor="text1"/>
                <w:szCs w:val="16"/>
              </w:rPr>
              <w:t>54.50%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0ABFC" w14:textId="77777777"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A2DD6E" w14:textId="36DC7586" w:rsidR="00CF6742" w:rsidRPr="00781112" w:rsidRDefault="002B7490" w:rsidP="00A018D4">
            <w:pPr>
              <w:jc w:val="center"/>
              <w:rPr>
                <w:rFonts w:cs="Arial"/>
                <w:color w:val="000000" w:themeColor="text1"/>
                <w:szCs w:val="16"/>
              </w:rPr>
            </w:pPr>
            <w:r w:rsidRPr="00781112">
              <w:rPr>
                <w:rFonts w:cs="Arial"/>
                <w:color w:val="000000" w:themeColor="text1"/>
                <w:szCs w:val="16"/>
              </w:rPr>
              <w:t>59.91%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6159A9A" w14:textId="560797EF" w:rsidR="00CF6742" w:rsidRPr="00781112" w:rsidRDefault="002B7490" w:rsidP="00A018D4">
            <w:pPr>
              <w:jc w:val="center"/>
              <w:rPr>
                <w:rFonts w:cs="Arial"/>
                <w:color w:val="000000" w:themeColor="text1"/>
                <w:szCs w:val="16"/>
              </w:rPr>
            </w:pPr>
            <w:r w:rsidRPr="00781112">
              <w:rPr>
                <w:rFonts w:cs="Arial"/>
                <w:color w:val="000000" w:themeColor="text1"/>
                <w:szCs w:val="16"/>
              </w:rPr>
              <w:t>63.73%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5D8F762" w14:textId="7C5C8489" w:rsidR="00CF6742" w:rsidRPr="00781112" w:rsidRDefault="002B7490" w:rsidP="00A018D4">
            <w:pPr>
              <w:jc w:val="center"/>
              <w:rPr>
                <w:rFonts w:cs="Arial"/>
                <w:color w:val="000000" w:themeColor="text1"/>
                <w:szCs w:val="16"/>
              </w:rPr>
            </w:pPr>
            <w:r w:rsidRPr="00781112">
              <w:rPr>
                <w:rFonts w:cs="Arial"/>
                <w:color w:val="000000" w:themeColor="text1"/>
                <w:szCs w:val="16"/>
              </w:rPr>
              <w:t>60.66%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F976AF4" w14:textId="04557E60" w:rsidR="00CF6742" w:rsidRPr="00781112" w:rsidRDefault="002B7490" w:rsidP="00A018D4">
            <w:pPr>
              <w:jc w:val="center"/>
              <w:rPr>
                <w:rFonts w:cs="Arial"/>
                <w:color w:val="000000" w:themeColor="text1"/>
                <w:szCs w:val="16"/>
              </w:rPr>
            </w:pPr>
            <w:r w:rsidRPr="00781112">
              <w:rPr>
                <w:rFonts w:cs="Arial"/>
                <w:color w:val="000000" w:themeColor="text1"/>
                <w:szCs w:val="16"/>
              </w:rPr>
              <w:t>61.81%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EEF23F" w14:textId="5EDDCD10" w:rsidR="00CF6742" w:rsidRPr="00781112" w:rsidRDefault="002B7490" w:rsidP="00A018D4">
            <w:pPr>
              <w:jc w:val="center"/>
              <w:rPr>
                <w:rFonts w:cs="Arial"/>
                <w:color w:val="000000" w:themeColor="text1"/>
                <w:szCs w:val="16"/>
              </w:rPr>
            </w:pPr>
            <w:r w:rsidRPr="00781112">
              <w:rPr>
                <w:rFonts w:cs="Arial"/>
                <w:color w:val="000000" w:themeColor="text1"/>
                <w:szCs w:val="16"/>
              </w:rPr>
              <w:t>60.96%</w:t>
            </w:r>
          </w:p>
        </w:tc>
      </w:tr>
      <w:tr w:rsidR="005F0D3B" w:rsidRPr="00781112" w14:paraId="038BC95B" w14:textId="47C87879" w:rsidTr="009023AD">
        <w:trPr>
          <w:trHeight w:val="85"/>
        </w:trPr>
        <w:tc>
          <w:tcPr>
            <w:tcW w:w="248" w:type="pct"/>
            <w:tcBorders>
              <w:left w:val="single" w:sz="4" w:space="0" w:color="auto"/>
              <w:right w:val="single" w:sz="4" w:space="0" w:color="auto"/>
            </w:tcBorders>
            <w:shd w:val="clear" w:color="auto" w:fill="auto"/>
            <w:vAlign w:val="center"/>
          </w:tcPr>
          <w:p w14:paraId="4B20CE7B"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49E245E" w14:textId="66BE9FD7"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1E60245" w14:textId="7347A69D"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F1B58E" w14:textId="3C66E08F" w:rsidR="0085328E" w:rsidRPr="00781112" w:rsidRDefault="002B7490" w:rsidP="00A018D4">
            <w:pPr>
              <w:jc w:val="center"/>
              <w:rPr>
                <w:rFonts w:cs="Arial"/>
                <w:color w:val="000000" w:themeColor="text1"/>
                <w:szCs w:val="16"/>
              </w:rPr>
            </w:pPr>
            <w:r w:rsidRPr="00781112">
              <w:rPr>
                <w:rFonts w:cs="Arial"/>
                <w:color w:val="000000" w:themeColor="text1"/>
                <w:szCs w:val="16"/>
              </w:rPr>
              <w:t>89.50%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6CEF40A" w14:textId="6AF964A1" w:rsidR="0085328E" w:rsidRPr="00781112" w:rsidRDefault="002B7490" w:rsidP="00A018D4">
            <w:pPr>
              <w:jc w:val="center"/>
              <w:rPr>
                <w:rFonts w:cs="Arial"/>
                <w:color w:val="000000" w:themeColor="text1"/>
                <w:szCs w:val="16"/>
              </w:rPr>
            </w:pPr>
            <w:r w:rsidRPr="00781112">
              <w:rPr>
                <w:rFonts w:cs="Arial"/>
                <w:color w:val="000000" w:themeColor="text1"/>
                <w:szCs w:val="16"/>
              </w:rPr>
              <w:t>89.75%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C74D9F4" w14:textId="774343F5" w:rsidR="0085328E" w:rsidRPr="00781112" w:rsidRDefault="002B7490" w:rsidP="00A018D4">
            <w:pPr>
              <w:jc w:val="center"/>
              <w:rPr>
                <w:rFonts w:cs="Arial"/>
                <w:color w:val="000000" w:themeColor="text1"/>
                <w:szCs w:val="16"/>
              </w:rPr>
            </w:pPr>
            <w:r w:rsidRPr="00781112">
              <w:rPr>
                <w:rFonts w:cs="Arial"/>
                <w:color w:val="000000" w:themeColor="text1"/>
                <w:szCs w:val="16"/>
              </w:rPr>
              <w:t>92.90%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9DA59EE" w14:textId="194552B0" w:rsidR="0085328E" w:rsidRPr="00781112" w:rsidRDefault="002B7490" w:rsidP="00A018D4">
            <w:pPr>
              <w:jc w:val="center"/>
              <w:rPr>
                <w:rFonts w:cs="Arial"/>
                <w:color w:val="000000" w:themeColor="text1"/>
                <w:szCs w:val="16"/>
              </w:rPr>
            </w:pPr>
            <w:r w:rsidRPr="00781112">
              <w:rPr>
                <w:rFonts w:cs="Arial"/>
                <w:color w:val="000000" w:themeColor="text1"/>
                <w:szCs w:val="16"/>
              </w:rPr>
              <w:t>92.90%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B8D5B5" w14:textId="15B9801D" w:rsidR="0085328E" w:rsidRPr="00781112" w:rsidRDefault="002B7490" w:rsidP="00A018D4">
            <w:pPr>
              <w:jc w:val="center"/>
              <w:rPr>
                <w:rFonts w:cs="Arial"/>
                <w:color w:val="000000" w:themeColor="text1"/>
                <w:szCs w:val="16"/>
              </w:rPr>
            </w:pPr>
            <w:r w:rsidRPr="00781112">
              <w:rPr>
                <w:rFonts w:cs="Arial"/>
                <w:color w:val="000000" w:themeColor="text1"/>
                <w:szCs w:val="16"/>
              </w:rPr>
              <w:t>93.50%</w:t>
            </w:r>
          </w:p>
        </w:tc>
      </w:tr>
      <w:tr w:rsidR="005F0D3B" w:rsidRPr="00781112" w14:paraId="66DA0218" w14:textId="74D7BD54" w:rsidTr="009023AD">
        <w:trPr>
          <w:trHeight w:val="85"/>
        </w:trPr>
        <w:tc>
          <w:tcPr>
            <w:tcW w:w="248" w:type="pct"/>
            <w:tcBorders>
              <w:left w:val="single" w:sz="4" w:space="0" w:color="auto"/>
              <w:right w:val="single" w:sz="4" w:space="0" w:color="auto"/>
            </w:tcBorders>
            <w:shd w:val="clear" w:color="auto" w:fill="auto"/>
            <w:vAlign w:val="center"/>
          </w:tcPr>
          <w:p w14:paraId="24B8577D" w14:textId="1B68A320"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F012F6D" w14:textId="4520FF93" w:rsidR="0085328E" w:rsidRPr="00781112" w:rsidRDefault="002B7490" w:rsidP="00A018D4">
            <w:pPr>
              <w:jc w:val="center"/>
              <w:rPr>
                <w:rFonts w:cs="Arial"/>
                <w:color w:val="000000" w:themeColor="text1"/>
                <w:szCs w:val="16"/>
              </w:rPr>
            </w:pPr>
            <w:r w:rsidRPr="00781112">
              <w:rPr>
                <w:rFonts w:cs="Arial"/>
                <w:color w:val="000000" w:themeColor="text1"/>
                <w:szCs w:val="16"/>
              </w:rPr>
              <w:t>92.80%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853A57"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11C2254" w14:textId="1DF979D4" w:rsidR="0085328E" w:rsidRPr="00781112" w:rsidRDefault="002B7490" w:rsidP="00A018D4">
            <w:pPr>
              <w:jc w:val="center"/>
              <w:rPr>
                <w:rFonts w:cs="Arial"/>
                <w:color w:val="000000" w:themeColor="text1"/>
                <w:szCs w:val="16"/>
              </w:rPr>
            </w:pPr>
            <w:r w:rsidRPr="00781112">
              <w:rPr>
                <w:rFonts w:cs="Arial"/>
                <w:color w:val="000000" w:themeColor="text1"/>
                <w:szCs w:val="16"/>
              </w:rPr>
              <w:t>92.57%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5DBAC4" w14:textId="06C3822D" w:rsidR="0085328E" w:rsidRPr="00781112" w:rsidRDefault="002B7490" w:rsidP="00A018D4">
            <w:pPr>
              <w:jc w:val="center"/>
              <w:rPr>
                <w:rFonts w:cs="Arial"/>
                <w:color w:val="000000" w:themeColor="text1"/>
                <w:szCs w:val="16"/>
              </w:rPr>
            </w:pPr>
            <w:r w:rsidRPr="00781112">
              <w:rPr>
                <w:rFonts w:cs="Arial"/>
                <w:color w:val="000000" w:themeColor="text1"/>
                <w:szCs w:val="16"/>
              </w:rPr>
              <w:t>91.65%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9D2F1A1" w14:textId="1565A8C1" w:rsidR="0085328E" w:rsidRPr="00781112" w:rsidRDefault="002B7490" w:rsidP="00A018D4">
            <w:pPr>
              <w:jc w:val="center"/>
              <w:rPr>
                <w:rFonts w:cs="Arial"/>
                <w:color w:val="000000" w:themeColor="text1"/>
                <w:szCs w:val="16"/>
              </w:rPr>
            </w:pPr>
            <w:r w:rsidRPr="00781112">
              <w:rPr>
                <w:rFonts w:cs="Arial"/>
                <w:color w:val="000000" w:themeColor="text1"/>
                <w:szCs w:val="16"/>
              </w:rPr>
              <w:t>92.66%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9437" w14:textId="7807B4A0" w:rsidR="0085328E" w:rsidRPr="00781112" w:rsidRDefault="002B7490" w:rsidP="00A018D4">
            <w:pPr>
              <w:jc w:val="center"/>
              <w:rPr>
                <w:rFonts w:cs="Arial"/>
                <w:color w:val="000000" w:themeColor="text1"/>
                <w:szCs w:val="16"/>
              </w:rPr>
            </w:pPr>
            <w:r w:rsidRPr="00781112">
              <w:rPr>
                <w:rFonts w:cs="Arial"/>
                <w:color w:val="000000" w:themeColor="text1"/>
                <w:szCs w:val="16"/>
              </w:rPr>
              <w:t>93.96%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1EDD05" w14:textId="5AA94706" w:rsidR="0085328E" w:rsidRPr="00781112" w:rsidRDefault="002B7490" w:rsidP="00A018D4">
            <w:pPr>
              <w:jc w:val="center"/>
              <w:rPr>
                <w:rFonts w:cs="Arial"/>
                <w:color w:val="000000" w:themeColor="text1"/>
                <w:szCs w:val="16"/>
              </w:rPr>
            </w:pPr>
            <w:r w:rsidRPr="00781112">
              <w:rPr>
                <w:rFonts w:cs="Arial"/>
                <w:color w:val="000000" w:themeColor="text1"/>
                <w:szCs w:val="16"/>
              </w:rPr>
              <w:t>94.30%</w:t>
            </w:r>
          </w:p>
        </w:tc>
      </w:tr>
      <w:tr w:rsidR="005F0D3B" w:rsidRPr="00781112" w14:paraId="5D1BF2C9" w14:textId="459BD37D" w:rsidTr="009023AD">
        <w:trPr>
          <w:trHeight w:val="85"/>
        </w:trPr>
        <w:tc>
          <w:tcPr>
            <w:tcW w:w="248" w:type="pct"/>
            <w:tcBorders>
              <w:left w:val="single" w:sz="4" w:space="0" w:color="auto"/>
              <w:right w:val="single" w:sz="4" w:space="0" w:color="auto"/>
            </w:tcBorders>
            <w:shd w:val="clear" w:color="auto" w:fill="auto"/>
            <w:vAlign w:val="center"/>
          </w:tcPr>
          <w:p w14:paraId="548F3C7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160EA035" w14:textId="1C94FCD5"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A24CCF9" w14:textId="2D8E0643"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D83D62" w14:textId="2DE181F8" w:rsidR="0085328E" w:rsidRPr="00781112" w:rsidRDefault="002B7490" w:rsidP="00A018D4">
            <w:pPr>
              <w:jc w:val="center"/>
              <w:rPr>
                <w:rFonts w:cs="Arial"/>
                <w:color w:val="000000" w:themeColor="text1"/>
                <w:szCs w:val="16"/>
              </w:rPr>
            </w:pPr>
            <w:r w:rsidRPr="00781112">
              <w:rPr>
                <w:rFonts w:cs="Arial"/>
                <w:color w:val="000000" w:themeColor="text1"/>
                <w:szCs w:val="16"/>
              </w:rPr>
              <w:t>57.30%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B792AD" w14:textId="758AC006" w:rsidR="0085328E" w:rsidRPr="00781112" w:rsidRDefault="002B7490" w:rsidP="00A018D4">
            <w:pPr>
              <w:jc w:val="center"/>
              <w:rPr>
                <w:rFonts w:cs="Arial"/>
                <w:color w:val="000000" w:themeColor="text1"/>
                <w:szCs w:val="16"/>
              </w:rPr>
            </w:pPr>
            <w:r w:rsidRPr="00781112">
              <w:rPr>
                <w:rFonts w:cs="Arial"/>
                <w:color w:val="000000" w:themeColor="text1"/>
                <w:szCs w:val="16"/>
              </w:rPr>
              <w:t>57.30%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782A18F" w14:textId="46A86692" w:rsidR="0085328E" w:rsidRPr="00781112" w:rsidRDefault="002B7490" w:rsidP="00A018D4">
            <w:pPr>
              <w:jc w:val="center"/>
              <w:rPr>
                <w:rFonts w:cs="Arial"/>
                <w:color w:val="000000" w:themeColor="text1"/>
                <w:szCs w:val="16"/>
              </w:rPr>
            </w:pPr>
            <w:r w:rsidRPr="00781112">
              <w:rPr>
                <w:rFonts w:cs="Arial"/>
                <w:color w:val="000000" w:themeColor="text1"/>
                <w:szCs w:val="16"/>
              </w:rPr>
              <w:t>58.30%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97CBE74" w14:textId="39C3D76E" w:rsidR="0085328E" w:rsidRPr="00781112" w:rsidRDefault="002B7490" w:rsidP="00A018D4">
            <w:pPr>
              <w:jc w:val="center"/>
              <w:rPr>
                <w:rFonts w:cs="Arial"/>
                <w:color w:val="000000" w:themeColor="text1"/>
                <w:szCs w:val="16"/>
              </w:rPr>
            </w:pPr>
            <w:r w:rsidRPr="00781112">
              <w:rPr>
                <w:rFonts w:cs="Arial"/>
                <w:color w:val="000000" w:themeColor="text1"/>
                <w:szCs w:val="16"/>
              </w:rPr>
              <w:t>58.30%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1A34F04" w14:textId="315015F3" w:rsidR="0085328E" w:rsidRPr="00781112" w:rsidRDefault="002B7490" w:rsidP="00A018D4">
            <w:pPr>
              <w:jc w:val="center"/>
              <w:rPr>
                <w:rFonts w:cs="Arial"/>
                <w:color w:val="000000" w:themeColor="text1"/>
                <w:szCs w:val="16"/>
              </w:rPr>
            </w:pPr>
            <w:r w:rsidRPr="00781112">
              <w:rPr>
                <w:rFonts w:cs="Arial"/>
                <w:color w:val="000000" w:themeColor="text1"/>
                <w:szCs w:val="16"/>
              </w:rPr>
              <w:t>59.00%</w:t>
            </w:r>
          </w:p>
        </w:tc>
      </w:tr>
      <w:tr w:rsidR="005F0D3B" w:rsidRPr="00781112" w14:paraId="1AC0D5CC" w14:textId="451AD16E" w:rsidTr="009023AD">
        <w:trPr>
          <w:trHeight w:val="85"/>
        </w:trPr>
        <w:tc>
          <w:tcPr>
            <w:tcW w:w="248" w:type="pct"/>
            <w:tcBorders>
              <w:left w:val="single" w:sz="4" w:space="0" w:color="auto"/>
              <w:right w:val="single" w:sz="4" w:space="0" w:color="auto"/>
            </w:tcBorders>
            <w:shd w:val="clear" w:color="auto" w:fill="auto"/>
            <w:vAlign w:val="center"/>
          </w:tcPr>
          <w:p w14:paraId="143DE0B0" w14:textId="232D3364"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24E18759" w14:textId="387ECC21" w:rsidR="0085328E" w:rsidRPr="00781112" w:rsidRDefault="002B7490" w:rsidP="00A018D4">
            <w:pPr>
              <w:jc w:val="center"/>
              <w:rPr>
                <w:rFonts w:cs="Arial"/>
                <w:color w:val="000000" w:themeColor="text1"/>
                <w:szCs w:val="16"/>
              </w:rPr>
            </w:pPr>
            <w:r w:rsidRPr="00781112">
              <w:rPr>
                <w:rFonts w:cs="Arial"/>
                <w:color w:val="000000" w:themeColor="text1"/>
                <w:szCs w:val="16"/>
              </w:rPr>
              <w:t>55.00%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1218C7"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4D7405" w14:textId="7369DBD6" w:rsidR="0085328E" w:rsidRPr="00781112" w:rsidRDefault="002B7490" w:rsidP="00A018D4">
            <w:pPr>
              <w:jc w:val="center"/>
              <w:rPr>
                <w:rFonts w:cs="Arial"/>
                <w:color w:val="000000" w:themeColor="text1"/>
                <w:szCs w:val="16"/>
              </w:rPr>
            </w:pPr>
            <w:r w:rsidRPr="00781112">
              <w:rPr>
                <w:rFonts w:cs="Arial"/>
                <w:color w:val="000000" w:themeColor="text1"/>
                <w:szCs w:val="16"/>
              </w:rPr>
              <w:t>58.22%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668A2AF" w14:textId="3F239661" w:rsidR="0085328E" w:rsidRPr="00781112" w:rsidRDefault="002B7490" w:rsidP="00A018D4">
            <w:pPr>
              <w:jc w:val="center"/>
              <w:rPr>
                <w:rFonts w:cs="Arial"/>
                <w:color w:val="000000" w:themeColor="text1"/>
                <w:szCs w:val="16"/>
              </w:rPr>
            </w:pPr>
            <w:r w:rsidRPr="00781112">
              <w:rPr>
                <w:rFonts w:cs="Arial"/>
                <w:color w:val="000000" w:themeColor="text1"/>
                <w:szCs w:val="16"/>
              </w:rPr>
              <w:t>60.11%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735D643" w14:textId="534CE7F8" w:rsidR="0085328E" w:rsidRPr="00781112" w:rsidRDefault="002B7490" w:rsidP="00A018D4">
            <w:pPr>
              <w:jc w:val="center"/>
              <w:rPr>
                <w:rFonts w:cs="Arial"/>
                <w:color w:val="000000" w:themeColor="text1"/>
                <w:szCs w:val="16"/>
              </w:rPr>
            </w:pPr>
            <w:r w:rsidRPr="00781112">
              <w:rPr>
                <w:rFonts w:cs="Arial"/>
                <w:color w:val="000000" w:themeColor="text1"/>
                <w:szCs w:val="16"/>
              </w:rPr>
              <w:t>58.97%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69A388" w14:textId="486C020A" w:rsidR="0085328E" w:rsidRPr="00781112" w:rsidRDefault="002B7490" w:rsidP="00A018D4">
            <w:pPr>
              <w:jc w:val="center"/>
              <w:rPr>
                <w:rFonts w:cs="Arial"/>
                <w:color w:val="000000" w:themeColor="text1"/>
                <w:szCs w:val="16"/>
              </w:rPr>
            </w:pPr>
            <w:r w:rsidRPr="00781112">
              <w:rPr>
                <w:rFonts w:cs="Arial"/>
                <w:color w:val="000000" w:themeColor="text1"/>
                <w:szCs w:val="16"/>
              </w:rPr>
              <w:t>60.04%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AB34E0E" w14:textId="72971784" w:rsidR="0085328E" w:rsidRPr="00781112" w:rsidRDefault="002B7490" w:rsidP="00A018D4">
            <w:pPr>
              <w:jc w:val="center"/>
              <w:rPr>
                <w:rFonts w:cs="Arial"/>
                <w:color w:val="000000" w:themeColor="text1"/>
                <w:szCs w:val="16"/>
              </w:rPr>
            </w:pPr>
            <w:r w:rsidRPr="00781112">
              <w:rPr>
                <w:rFonts w:cs="Arial"/>
                <w:color w:val="000000" w:themeColor="text1"/>
                <w:szCs w:val="16"/>
              </w:rPr>
              <w:t>59.60%</w:t>
            </w:r>
          </w:p>
        </w:tc>
      </w:tr>
      <w:tr w:rsidR="005F0D3B" w:rsidRPr="00781112" w14:paraId="3A905290" w14:textId="4D4DDE53" w:rsidTr="009023AD">
        <w:trPr>
          <w:trHeight w:val="85"/>
        </w:trPr>
        <w:tc>
          <w:tcPr>
            <w:tcW w:w="248" w:type="pct"/>
            <w:tcBorders>
              <w:left w:val="single" w:sz="4" w:space="0" w:color="auto"/>
              <w:right w:val="single" w:sz="4" w:space="0" w:color="auto"/>
            </w:tcBorders>
            <w:shd w:val="clear" w:color="auto" w:fill="auto"/>
            <w:vAlign w:val="center"/>
          </w:tcPr>
          <w:p w14:paraId="72D6BBB6"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32EC35B2" w14:textId="7EF481F8"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AD4BBD1" w14:textId="1AF777EC"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E3605B6" w14:textId="09C06F1D" w:rsidR="0085328E" w:rsidRPr="00781112" w:rsidRDefault="002B7490" w:rsidP="00A018D4">
            <w:pPr>
              <w:jc w:val="center"/>
              <w:rPr>
                <w:rFonts w:cs="Arial"/>
                <w:color w:val="000000" w:themeColor="text1"/>
                <w:szCs w:val="16"/>
              </w:rPr>
            </w:pPr>
            <w:r w:rsidRPr="00781112">
              <w:rPr>
                <w:rFonts w:cs="Arial"/>
                <w:color w:val="000000" w:themeColor="text1"/>
                <w:szCs w:val="16"/>
              </w:rPr>
              <w:t>91.50%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985E737" w14:textId="1A9F0994" w:rsidR="0085328E" w:rsidRPr="00781112" w:rsidRDefault="002B7490" w:rsidP="00A018D4">
            <w:pPr>
              <w:jc w:val="center"/>
              <w:rPr>
                <w:rFonts w:cs="Arial"/>
                <w:color w:val="000000" w:themeColor="text1"/>
                <w:szCs w:val="16"/>
              </w:rPr>
            </w:pPr>
            <w:r w:rsidRPr="00781112">
              <w:rPr>
                <w:rFonts w:cs="Arial"/>
                <w:color w:val="000000" w:themeColor="text1"/>
                <w:szCs w:val="16"/>
              </w:rPr>
              <w:t>91.75%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104097D" w14:textId="3599EA63" w:rsidR="0085328E" w:rsidRPr="00781112" w:rsidRDefault="002B7490" w:rsidP="00A018D4">
            <w:pPr>
              <w:jc w:val="center"/>
              <w:rPr>
                <w:rFonts w:cs="Arial"/>
                <w:color w:val="000000" w:themeColor="text1"/>
                <w:szCs w:val="16"/>
              </w:rPr>
            </w:pPr>
            <w:r w:rsidRPr="00781112">
              <w:rPr>
                <w:rFonts w:cs="Arial"/>
                <w:color w:val="000000" w:themeColor="text1"/>
                <w:szCs w:val="16"/>
              </w:rPr>
              <w:t>93.00%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2ECD873" w14:textId="22C05487" w:rsidR="0085328E" w:rsidRPr="00781112" w:rsidRDefault="002B7490" w:rsidP="00A018D4">
            <w:pPr>
              <w:jc w:val="center"/>
              <w:rPr>
                <w:rFonts w:cs="Arial"/>
                <w:color w:val="000000" w:themeColor="text1"/>
                <w:szCs w:val="16"/>
              </w:rPr>
            </w:pPr>
            <w:r w:rsidRPr="00781112">
              <w:rPr>
                <w:rFonts w:cs="Arial"/>
                <w:color w:val="000000" w:themeColor="text1"/>
                <w:szCs w:val="16"/>
              </w:rPr>
              <w:t>93.00%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3389E08" w14:textId="39125BE4" w:rsidR="0085328E" w:rsidRPr="00781112" w:rsidRDefault="002B7490" w:rsidP="00A018D4">
            <w:pPr>
              <w:jc w:val="center"/>
              <w:rPr>
                <w:rFonts w:cs="Arial"/>
                <w:color w:val="000000" w:themeColor="text1"/>
                <w:szCs w:val="16"/>
              </w:rPr>
            </w:pPr>
            <w:r w:rsidRPr="00781112">
              <w:rPr>
                <w:rFonts w:cs="Arial"/>
                <w:color w:val="000000" w:themeColor="text1"/>
                <w:szCs w:val="16"/>
              </w:rPr>
              <w:t>93.50%</w:t>
            </w:r>
          </w:p>
        </w:tc>
      </w:tr>
      <w:tr w:rsidR="005F0D3B" w:rsidRPr="00781112" w14:paraId="542EE9A0" w14:textId="0624CABB" w:rsidTr="009023AD">
        <w:trPr>
          <w:trHeight w:val="85"/>
        </w:trPr>
        <w:tc>
          <w:tcPr>
            <w:tcW w:w="248" w:type="pct"/>
            <w:tcBorders>
              <w:left w:val="single" w:sz="4" w:space="0" w:color="auto"/>
              <w:right w:val="single" w:sz="4" w:space="0" w:color="auto"/>
            </w:tcBorders>
            <w:shd w:val="clear" w:color="auto" w:fill="auto"/>
            <w:vAlign w:val="center"/>
          </w:tcPr>
          <w:p w14:paraId="4DBC4231" w14:textId="38EC78AF"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4A443083" w14:textId="588F563E" w:rsidR="0085328E" w:rsidRPr="00781112" w:rsidRDefault="002B7490" w:rsidP="00A018D4">
            <w:pPr>
              <w:jc w:val="center"/>
              <w:rPr>
                <w:rFonts w:cs="Arial"/>
                <w:color w:val="000000" w:themeColor="text1"/>
                <w:szCs w:val="16"/>
              </w:rPr>
            </w:pPr>
            <w:r w:rsidRPr="00781112">
              <w:rPr>
                <w:rFonts w:cs="Arial"/>
                <w:color w:val="000000" w:themeColor="text1"/>
                <w:szCs w:val="16"/>
              </w:rPr>
              <w:t>92.90%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505DBD8"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CCFC788" w14:textId="0DEC691C" w:rsidR="0085328E" w:rsidRPr="00781112" w:rsidRDefault="002B7490" w:rsidP="00A018D4">
            <w:pPr>
              <w:jc w:val="center"/>
              <w:rPr>
                <w:rFonts w:cs="Arial"/>
                <w:color w:val="000000" w:themeColor="text1"/>
                <w:szCs w:val="16"/>
              </w:rPr>
            </w:pPr>
            <w:r w:rsidRPr="00781112">
              <w:rPr>
                <w:rFonts w:cs="Arial"/>
                <w:color w:val="000000" w:themeColor="text1"/>
                <w:szCs w:val="16"/>
              </w:rPr>
              <w:t>92.78%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A2692FD" w14:textId="41890FD1" w:rsidR="0085328E" w:rsidRPr="00781112" w:rsidRDefault="002B7490" w:rsidP="00A018D4">
            <w:pPr>
              <w:jc w:val="center"/>
              <w:rPr>
                <w:rFonts w:cs="Arial"/>
                <w:color w:val="000000" w:themeColor="text1"/>
                <w:szCs w:val="16"/>
              </w:rPr>
            </w:pPr>
            <w:r w:rsidRPr="00781112">
              <w:rPr>
                <w:rFonts w:cs="Arial"/>
                <w:color w:val="000000" w:themeColor="text1"/>
                <w:szCs w:val="16"/>
              </w:rPr>
              <w:t>93.86%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E19A94" w14:textId="4230AB0E" w:rsidR="0085328E" w:rsidRPr="00781112" w:rsidRDefault="002B7490" w:rsidP="00A018D4">
            <w:pPr>
              <w:jc w:val="center"/>
              <w:rPr>
                <w:rFonts w:cs="Arial"/>
                <w:color w:val="000000" w:themeColor="text1"/>
                <w:szCs w:val="16"/>
              </w:rPr>
            </w:pPr>
            <w:r w:rsidRPr="00781112">
              <w:rPr>
                <w:rFonts w:cs="Arial"/>
                <w:color w:val="000000" w:themeColor="text1"/>
                <w:szCs w:val="16"/>
              </w:rPr>
              <w:t>93.78%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F3C8C0" w14:textId="601F01AA" w:rsidR="0085328E" w:rsidRPr="00781112" w:rsidRDefault="002B7490" w:rsidP="00A018D4">
            <w:pPr>
              <w:jc w:val="center"/>
              <w:rPr>
                <w:rFonts w:cs="Arial"/>
                <w:color w:val="000000" w:themeColor="text1"/>
                <w:szCs w:val="16"/>
              </w:rPr>
            </w:pPr>
            <w:r w:rsidRPr="00781112">
              <w:rPr>
                <w:rFonts w:cs="Arial"/>
                <w:color w:val="000000" w:themeColor="text1"/>
                <w:szCs w:val="16"/>
              </w:rPr>
              <w:t>94.81%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69554C" w14:textId="208FBED6" w:rsidR="0085328E" w:rsidRPr="00781112" w:rsidRDefault="002B7490" w:rsidP="00A018D4">
            <w:pPr>
              <w:jc w:val="center"/>
              <w:rPr>
                <w:rFonts w:cs="Arial"/>
                <w:color w:val="000000" w:themeColor="text1"/>
                <w:szCs w:val="16"/>
              </w:rPr>
            </w:pPr>
            <w:r w:rsidRPr="00781112">
              <w:rPr>
                <w:rFonts w:cs="Arial"/>
                <w:color w:val="000000" w:themeColor="text1"/>
                <w:szCs w:val="16"/>
              </w:rPr>
              <w:t>94.87%</w:t>
            </w:r>
          </w:p>
        </w:tc>
      </w:tr>
      <w:tr w:rsidR="005F0D3B" w:rsidRPr="00781112" w14:paraId="1C3A879D" w14:textId="39451B95" w:rsidTr="009023AD">
        <w:trPr>
          <w:trHeight w:val="85"/>
        </w:trPr>
        <w:tc>
          <w:tcPr>
            <w:tcW w:w="248" w:type="pct"/>
            <w:tcBorders>
              <w:left w:val="single" w:sz="4" w:space="0" w:color="auto"/>
              <w:right w:val="single" w:sz="4" w:space="0" w:color="auto"/>
            </w:tcBorders>
            <w:shd w:val="clear" w:color="auto" w:fill="auto"/>
            <w:vAlign w:val="center"/>
          </w:tcPr>
          <w:p w14:paraId="26C585A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02A4378D" w14:textId="1370C13B"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0F3C954" w14:textId="5809F22B"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37F82B2" w14:textId="3FDA4D76" w:rsidR="0085328E" w:rsidRPr="00781112" w:rsidRDefault="002B7490" w:rsidP="00A018D4">
            <w:pPr>
              <w:jc w:val="center"/>
              <w:rPr>
                <w:rFonts w:cs="Arial"/>
                <w:color w:val="000000" w:themeColor="text1"/>
                <w:szCs w:val="16"/>
              </w:rPr>
            </w:pPr>
            <w:r w:rsidRPr="00781112">
              <w:rPr>
                <w:rFonts w:cs="Arial"/>
                <w:color w:val="000000" w:themeColor="text1"/>
                <w:szCs w:val="16"/>
              </w:rPr>
              <w:t>72.00%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C5B5B6" w14:textId="467D9866" w:rsidR="0085328E" w:rsidRPr="00781112" w:rsidRDefault="002B7490" w:rsidP="00A018D4">
            <w:pPr>
              <w:jc w:val="center"/>
              <w:rPr>
                <w:rFonts w:cs="Arial"/>
                <w:color w:val="000000" w:themeColor="text1"/>
                <w:szCs w:val="16"/>
              </w:rPr>
            </w:pPr>
            <w:r w:rsidRPr="00781112">
              <w:rPr>
                <w:rFonts w:cs="Arial"/>
                <w:color w:val="000000" w:themeColor="text1"/>
                <w:szCs w:val="16"/>
              </w:rPr>
              <w:t>72.00%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D8F929" w14:textId="659E25C7" w:rsidR="0085328E" w:rsidRPr="00781112" w:rsidRDefault="002B7490" w:rsidP="00A018D4">
            <w:pPr>
              <w:jc w:val="center"/>
              <w:rPr>
                <w:rFonts w:cs="Arial"/>
                <w:color w:val="000000" w:themeColor="text1"/>
                <w:szCs w:val="16"/>
              </w:rPr>
            </w:pPr>
            <w:r w:rsidRPr="00781112">
              <w:rPr>
                <w:rFonts w:cs="Arial"/>
                <w:color w:val="000000" w:themeColor="text1"/>
                <w:szCs w:val="16"/>
              </w:rPr>
              <w:t>73.00%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2DB5EE8" w14:textId="25FD6BE6" w:rsidR="0085328E" w:rsidRPr="00781112" w:rsidRDefault="002B7490" w:rsidP="00A018D4">
            <w:pPr>
              <w:jc w:val="center"/>
              <w:rPr>
                <w:rFonts w:cs="Arial"/>
                <w:color w:val="000000" w:themeColor="text1"/>
                <w:szCs w:val="16"/>
              </w:rPr>
            </w:pPr>
            <w:r w:rsidRPr="00781112">
              <w:rPr>
                <w:rFonts w:cs="Arial"/>
                <w:color w:val="000000" w:themeColor="text1"/>
                <w:szCs w:val="16"/>
              </w:rPr>
              <w:t>73.00%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4D4A8ED" w14:textId="7FD39DDF" w:rsidR="0085328E" w:rsidRPr="00781112" w:rsidRDefault="002B7490" w:rsidP="00A018D4">
            <w:pPr>
              <w:jc w:val="center"/>
              <w:rPr>
                <w:rFonts w:cs="Arial"/>
                <w:color w:val="000000" w:themeColor="text1"/>
                <w:szCs w:val="16"/>
              </w:rPr>
            </w:pPr>
            <w:r w:rsidRPr="00781112">
              <w:rPr>
                <w:rFonts w:cs="Arial"/>
                <w:color w:val="000000" w:themeColor="text1"/>
                <w:szCs w:val="16"/>
              </w:rPr>
              <w:t>70.50%</w:t>
            </w:r>
          </w:p>
        </w:tc>
      </w:tr>
      <w:tr w:rsidR="005F0D3B" w:rsidRPr="00781112" w14:paraId="2ED2CF15" w14:textId="4D4950C3" w:rsidTr="009023AD">
        <w:trPr>
          <w:trHeight w:val="85"/>
        </w:trPr>
        <w:tc>
          <w:tcPr>
            <w:tcW w:w="248" w:type="pct"/>
            <w:tcBorders>
              <w:left w:val="single" w:sz="4" w:space="0" w:color="auto"/>
              <w:right w:val="single" w:sz="4" w:space="0" w:color="auto"/>
            </w:tcBorders>
            <w:shd w:val="clear" w:color="auto" w:fill="auto"/>
            <w:vAlign w:val="center"/>
          </w:tcPr>
          <w:p w14:paraId="0C71509B" w14:textId="5F7D99B1"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722DF11E" w14:textId="268D7A3C" w:rsidR="0085328E" w:rsidRPr="00781112" w:rsidRDefault="002B7490" w:rsidP="00A018D4">
            <w:pPr>
              <w:jc w:val="center"/>
              <w:rPr>
                <w:rFonts w:cs="Arial"/>
                <w:color w:val="000000" w:themeColor="text1"/>
                <w:szCs w:val="16"/>
              </w:rPr>
            </w:pPr>
            <w:r w:rsidRPr="00781112">
              <w:rPr>
                <w:rFonts w:cs="Arial"/>
                <w:color w:val="000000" w:themeColor="text1"/>
                <w:szCs w:val="16"/>
              </w:rPr>
              <w:t>67.70%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7880F8C"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9C94D3E" w14:textId="1C9729B7" w:rsidR="0085328E" w:rsidRPr="00781112" w:rsidRDefault="002B7490" w:rsidP="00A018D4">
            <w:pPr>
              <w:jc w:val="center"/>
              <w:rPr>
                <w:rFonts w:cs="Arial"/>
                <w:color w:val="000000" w:themeColor="text1"/>
                <w:szCs w:val="16"/>
              </w:rPr>
            </w:pPr>
            <w:r w:rsidRPr="00781112">
              <w:rPr>
                <w:rFonts w:cs="Arial"/>
                <w:color w:val="000000" w:themeColor="text1"/>
                <w:szCs w:val="16"/>
              </w:rPr>
              <w:t>73.49%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AA52620" w14:textId="6E2803C1" w:rsidR="0085328E" w:rsidRPr="00781112" w:rsidRDefault="002B7490" w:rsidP="00A018D4">
            <w:pPr>
              <w:jc w:val="center"/>
              <w:rPr>
                <w:rFonts w:cs="Arial"/>
                <w:color w:val="000000" w:themeColor="text1"/>
                <w:szCs w:val="16"/>
              </w:rPr>
            </w:pPr>
            <w:r w:rsidRPr="00781112">
              <w:rPr>
                <w:rFonts w:cs="Arial"/>
                <w:color w:val="000000" w:themeColor="text1"/>
                <w:szCs w:val="16"/>
              </w:rPr>
              <w:t>76.27%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B49B53" w14:textId="1024FEC0" w:rsidR="0085328E" w:rsidRPr="00781112" w:rsidRDefault="002B7490" w:rsidP="00A018D4">
            <w:pPr>
              <w:jc w:val="center"/>
              <w:rPr>
                <w:rFonts w:cs="Arial"/>
                <w:color w:val="000000" w:themeColor="text1"/>
                <w:szCs w:val="16"/>
              </w:rPr>
            </w:pPr>
            <w:r w:rsidRPr="00781112">
              <w:rPr>
                <w:rFonts w:cs="Arial"/>
                <w:color w:val="000000" w:themeColor="text1"/>
                <w:szCs w:val="16"/>
              </w:rPr>
              <w:t>73.62%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B7A91B" w14:textId="764DB422" w:rsidR="0085328E" w:rsidRPr="00781112" w:rsidRDefault="002B7490" w:rsidP="00A018D4">
            <w:pPr>
              <w:jc w:val="center"/>
              <w:rPr>
                <w:rFonts w:cs="Arial"/>
                <w:color w:val="000000" w:themeColor="text1"/>
                <w:szCs w:val="16"/>
              </w:rPr>
            </w:pPr>
            <w:r w:rsidRPr="00781112">
              <w:rPr>
                <w:rFonts w:cs="Arial"/>
                <w:color w:val="000000" w:themeColor="text1"/>
                <w:szCs w:val="16"/>
              </w:rPr>
              <w:t>73.77%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DF1E23" w14:textId="1E0478E3" w:rsidR="0085328E" w:rsidRPr="00781112" w:rsidRDefault="002B7490" w:rsidP="00A018D4">
            <w:pPr>
              <w:jc w:val="center"/>
              <w:rPr>
                <w:rFonts w:cs="Arial"/>
                <w:color w:val="000000" w:themeColor="text1"/>
                <w:szCs w:val="16"/>
              </w:rPr>
            </w:pPr>
            <w:r w:rsidRPr="00781112">
              <w:rPr>
                <w:rFonts w:cs="Arial"/>
                <w:color w:val="000000" w:themeColor="text1"/>
                <w:szCs w:val="16"/>
              </w:rPr>
              <w:t>70.80%</w:t>
            </w:r>
          </w:p>
        </w:tc>
      </w:tr>
    </w:tbl>
    <w:p w14:paraId="53B4B4AE" w14:textId="77777777" w:rsidR="007870F8" w:rsidRPr="00781112" w:rsidRDefault="007870F8" w:rsidP="004369B2">
      <w:pPr>
        <w:rPr>
          <w:color w:val="000000" w:themeColor="text1"/>
        </w:rPr>
      </w:pPr>
    </w:p>
    <w:p w14:paraId="0DB74FA5" w14:textId="79B945B9" w:rsidR="00F4192A" w:rsidRPr="00781112" w:rsidRDefault="00F4192A" w:rsidP="004369B2">
      <w:pPr>
        <w:rPr>
          <w:color w:val="000000" w:themeColor="text1"/>
        </w:rPr>
      </w:pPr>
      <w:r w:rsidRPr="00781112">
        <w:rPr>
          <w:b/>
          <w:color w:val="000000" w:themeColor="text1"/>
        </w:rPr>
        <w:t>Targets</w:t>
      </w:r>
    </w:p>
    <w:tbl>
      <w:tblPr>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79"/>
        <w:gridCol w:w="1592"/>
        <w:gridCol w:w="1696"/>
        <w:gridCol w:w="1696"/>
        <w:gridCol w:w="1696"/>
        <w:gridCol w:w="1696"/>
      </w:tblGrid>
      <w:tr w:rsidR="00B14519" w:rsidRPr="00781112" w14:paraId="7154778B" w14:textId="326343BD" w:rsidTr="00451D7E">
        <w:trPr>
          <w:trHeight w:val="333"/>
        </w:trPr>
        <w:tc>
          <w:tcPr>
            <w:tcW w:w="267" w:type="pct"/>
            <w:tcBorders>
              <w:bottom w:val="single" w:sz="4" w:space="0" w:color="auto"/>
            </w:tcBorders>
            <w:shd w:val="clear" w:color="auto" w:fill="auto"/>
            <w:vAlign w:val="center"/>
          </w:tcPr>
          <w:p w14:paraId="4C772A88" w14:textId="77777777" w:rsidR="00B14519" w:rsidRPr="00781112" w:rsidRDefault="00B14519" w:rsidP="00D62058">
            <w:pPr>
              <w:jc w:val="center"/>
              <w:rPr>
                <w:b/>
                <w:color w:val="000000" w:themeColor="text1"/>
              </w:rPr>
            </w:pPr>
            <w:r w:rsidRPr="00781112">
              <w:rPr>
                <w:b/>
                <w:color w:val="000000" w:themeColor="text1"/>
              </w:rPr>
              <w:t>FFY</w:t>
            </w:r>
          </w:p>
        </w:tc>
        <w:tc>
          <w:tcPr>
            <w:tcW w:w="901" w:type="pct"/>
            <w:shd w:val="clear" w:color="auto" w:fill="auto"/>
            <w:vAlign w:val="center"/>
          </w:tcPr>
          <w:p w14:paraId="12A78916" w14:textId="4FE79E21" w:rsidR="00B14519" w:rsidRPr="00781112" w:rsidRDefault="00B14519" w:rsidP="00D62058">
            <w:pPr>
              <w:jc w:val="center"/>
              <w:rPr>
                <w:b/>
                <w:color w:val="000000" w:themeColor="text1"/>
              </w:rPr>
            </w:pPr>
            <w:r w:rsidRPr="00781112">
              <w:rPr>
                <w:b/>
                <w:color w:val="000000" w:themeColor="text1"/>
              </w:rPr>
              <w:t>2021</w:t>
            </w:r>
          </w:p>
        </w:tc>
        <w:tc>
          <w:tcPr>
            <w:tcW w:w="958" w:type="pct"/>
            <w:vAlign w:val="center"/>
          </w:tcPr>
          <w:p w14:paraId="252A750A" w14:textId="25138A81" w:rsidR="00B14519" w:rsidRPr="00781112" w:rsidRDefault="00B14519" w:rsidP="00D62058">
            <w:pPr>
              <w:jc w:val="center"/>
              <w:rPr>
                <w:b/>
                <w:color w:val="000000" w:themeColor="text1"/>
              </w:rPr>
            </w:pPr>
            <w:r w:rsidRPr="00781112">
              <w:rPr>
                <w:rFonts w:cs="Arial"/>
                <w:b/>
                <w:color w:val="000000" w:themeColor="text1"/>
                <w:szCs w:val="16"/>
              </w:rPr>
              <w:t>2022</w:t>
            </w:r>
          </w:p>
        </w:tc>
        <w:tc>
          <w:tcPr>
            <w:tcW w:w="958" w:type="pct"/>
            <w:vAlign w:val="center"/>
          </w:tcPr>
          <w:p w14:paraId="68D8D021" w14:textId="79B543D0" w:rsidR="00B14519" w:rsidRPr="00781112" w:rsidRDefault="00B14519" w:rsidP="00D62058">
            <w:pPr>
              <w:jc w:val="center"/>
              <w:rPr>
                <w:b/>
                <w:color w:val="000000" w:themeColor="text1"/>
              </w:rPr>
            </w:pPr>
            <w:r w:rsidRPr="00781112">
              <w:rPr>
                <w:rFonts w:cs="Arial"/>
                <w:b/>
                <w:color w:val="000000" w:themeColor="text1"/>
                <w:szCs w:val="16"/>
              </w:rPr>
              <w:t>2023</w:t>
            </w:r>
          </w:p>
        </w:tc>
        <w:tc>
          <w:tcPr>
            <w:tcW w:w="958" w:type="pct"/>
            <w:vAlign w:val="center"/>
          </w:tcPr>
          <w:p w14:paraId="60B57779" w14:textId="39F7714F" w:rsidR="00B14519" w:rsidRPr="00781112" w:rsidRDefault="00B14519" w:rsidP="00D62058">
            <w:pPr>
              <w:jc w:val="center"/>
              <w:rPr>
                <w:b/>
                <w:color w:val="000000" w:themeColor="text1"/>
              </w:rPr>
            </w:pPr>
            <w:r w:rsidRPr="00781112">
              <w:rPr>
                <w:rFonts w:cs="Arial"/>
                <w:b/>
                <w:color w:val="000000" w:themeColor="text1"/>
                <w:szCs w:val="16"/>
              </w:rPr>
              <w:t>2024</w:t>
            </w:r>
          </w:p>
        </w:tc>
        <w:tc>
          <w:tcPr>
            <w:tcW w:w="958" w:type="pct"/>
            <w:vAlign w:val="center"/>
          </w:tcPr>
          <w:p w14:paraId="2CB555F8" w14:textId="64C2A928" w:rsidR="00B14519" w:rsidRPr="00781112" w:rsidRDefault="00B14519" w:rsidP="00D62058">
            <w:pPr>
              <w:jc w:val="center"/>
              <w:rPr>
                <w:b/>
                <w:color w:val="000000" w:themeColor="text1"/>
              </w:rPr>
            </w:pPr>
            <w:r w:rsidRPr="00781112">
              <w:rPr>
                <w:rFonts w:cs="Arial"/>
                <w:b/>
                <w:color w:val="000000" w:themeColor="text1"/>
                <w:szCs w:val="16"/>
              </w:rPr>
              <w:t>2025</w:t>
            </w:r>
          </w:p>
        </w:tc>
      </w:tr>
      <w:tr w:rsidR="00B14519" w:rsidRPr="00781112" w14:paraId="18C73B9A" w14:textId="4A314190" w:rsidTr="00451D7E">
        <w:trPr>
          <w:trHeight w:val="340"/>
        </w:trPr>
        <w:tc>
          <w:tcPr>
            <w:tcW w:w="267" w:type="pct"/>
            <w:shd w:val="clear" w:color="auto" w:fill="auto"/>
            <w:vAlign w:val="center"/>
          </w:tcPr>
          <w:p w14:paraId="507B0BCD" w14:textId="415A5723" w:rsidR="00B14519" w:rsidRPr="00781112" w:rsidRDefault="00B14519" w:rsidP="00D62058">
            <w:pPr>
              <w:rPr>
                <w:rFonts w:cs="Arial"/>
                <w:color w:val="000000" w:themeColor="text1"/>
                <w:szCs w:val="16"/>
              </w:rPr>
            </w:pPr>
            <w:r w:rsidRPr="00781112">
              <w:rPr>
                <w:rFonts w:cs="Arial"/>
                <w:color w:val="000000" w:themeColor="text1"/>
                <w:szCs w:val="16"/>
              </w:rPr>
              <w:t>Target A1 &gt;=</w:t>
            </w:r>
          </w:p>
        </w:tc>
        <w:tc>
          <w:tcPr>
            <w:tcW w:w="901" w:type="pct"/>
            <w:shd w:val="clear" w:color="auto" w:fill="auto"/>
            <w:vAlign w:val="center"/>
          </w:tcPr>
          <w:p w14:paraId="1B809E80" w14:textId="23651174" w:rsidR="00B14519" w:rsidRPr="00781112" w:rsidRDefault="00B14519" w:rsidP="00D62058">
            <w:pPr>
              <w:jc w:val="center"/>
              <w:rPr>
                <w:color w:val="000000" w:themeColor="text1"/>
              </w:rPr>
            </w:pPr>
            <w:r w:rsidRPr="00781112">
              <w:rPr>
                <w:color w:val="000000" w:themeColor="text1"/>
              </w:rPr>
              <w:t>93.50%</w:t>
            </w:r>
          </w:p>
        </w:tc>
        <w:tc>
          <w:tcPr>
            <w:tcW w:w="958" w:type="pct"/>
            <w:vAlign w:val="center"/>
          </w:tcPr>
          <w:p w14:paraId="5EAD01EF" w14:textId="12066A13" w:rsidR="00B14519" w:rsidRPr="00781112" w:rsidRDefault="00B14519" w:rsidP="00D62058">
            <w:pPr>
              <w:jc w:val="center"/>
              <w:rPr>
                <w:color w:val="000000" w:themeColor="text1"/>
              </w:rPr>
            </w:pPr>
            <w:r w:rsidRPr="00781112">
              <w:rPr>
                <w:color w:val="000000" w:themeColor="text1"/>
                <w:szCs w:val="16"/>
              </w:rPr>
              <w:t>94.00%</w:t>
            </w:r>
          </w:p>
        </w:tc>
        <w:tc>
          <w:tcPr>
            <w:tcW w:w="958" w:type="pct"/>
            <w:vAlign w:val="center"/>
          </w:tcPr>
          <w:p w14:paraId="2E3018C0" w14:textId="3758E6A1" w:rsidR="00B14519" w:rsidRPr="00781112" w:rsidRDefault="00B14519" w:rsidP="00D62058">
            <w:pPr>
              <w:jc w:val="center"/>
              <w:rPr>
                <w:color w:val="000000" w:themeColor="text1"/>
              </w:rPr>
            </w:pPr>
            <w:r w:rsidRPr="00781112">
              <w:rPr>
                <w:color w:val="000000" w:themeColor="text1"/>
                <w:szCs w:val="16"/>
              </w:rPr>
              <w:t>94.00%</w:t>
            </w:r>
          </w:p>
        </w:tc>
        <w:tc>
          <w:tcPr>
            <w:tcW w:w="958" w:type="pct"/>
            <w:vAlign w:val="center"/>
          </w:tcPr>
          <w:p w14:paraId="063238F2" w14:textId="239B2312" w:rsidR="00B14519" w:rsidRPr="00781112" w:rsidRDefault="00B14519" w:rsidP="00D62058">
            <w:pPr>
              <w:jc w:val="center"/>
              <w:rPr>
                <w:color w:val="000000" w:themeColor="text1"/>
              </w:rPr>
            </w:pPr>
            <w:r w:rsidRPr="00781112">
              <w:rPr>
                <w:color w:val="000000" w:themeColor="text1"/>
                <w:szCs w:val="16"/>
              </w:rPr>
              <w:t>94.50%</w:t>
            </w:r>
          </w:p>
        </w:tc>
        <w:tc>
          <w:tcPr>
            <w:tcW w:w="958" w:type="pct"/>
            <w:vAlign w:val="center"/>
          </w:tcPr>
          <w:p w14:paraId="4FBF626C" w14:textId="574BC7A3" w:rsidR="00B14519" w:rsidRPr="00781112" w:rsidRDefault="00B14519" w:rsidP="00D62058">
            <w:pPr>
              <w:jc w:val="center"/>
              <w:rPr>
                <w:color w:val="000000" w:themeColor="text1"/>
              </w:rPr>
            </w:pPr>
            <w:r w:rsidRPr="00781112">
              <w:rPr>
                <w:color w:val="000000" w:themeColor="text1"/>
                <w:szCs w:val="16"/>
              </w:rPr>
              <w:t>94.50%</w:t>
            </w:r>
          </w:p>
        </w:tc>
      </w:tr>
      <w:tr w:rsidR="00B14519" w:rsidRPr="00781112" w14:paraId="7C704220" w14:textId="4A1FC69E" w:rsidTr="00451D7E">
        <w:trPr>
          <w:trHeight w:val="340"/>
        </w:trPr>
        <w:tc>
          <w:tcPr>
            <w:tcW w:w="267" w:type="pct"/>
            <w:shd w:val="clear" w:color="auto" w:fill="auto"/>
            <w:vAlign w:val="center"/>
          </w:tcPr>
          <w:p w14:paraId="253AADF0" w14:textId="721E9C65" w:rsidR="00B14519" w:rsidRPr="00781112" w:rsidRDefault="00B14519" w:rsidP="00D62058">
            <w:pPr>
              <w:rPr>
                <w:rFonts w:cs="Arial"/>
                <w:color w:val="000000" w:themeColor="text1"/>
                <w:szCs w:val="16"/>
              </w:rPr>
            </w:pPr>
            <w:r w:rsidRPr="00781112">
              <w:rPr>
                <w:rFonts w:cs="Arial"/>
                <w:color w:val="000000" w:themeColor="text1"/>
                <w:szCs w:val="16"/>
              </w:rPr>
              <w:t>Target A2 &gt;=</w:t>
            </w:r>
          </w:p>
        </w:tc>
        <w:tc>
          <w:tcPr>
            <w:tcW w:w="901" w:type="pct"/>
            <w:shd w:val="clear" w:color="auto" w:fill="auto"/>
            <w:vAlign w:val="center"/>
          </w:tcPr>
          <w:p w14:paraId="572F97E5" w14:textId="71E20118" w:rsidR="00B14519" w:rsidRPr="00781112" w:rsidRDefault="00B14519" w:rsidP="00D62058">
            <w:pPr>
              <w:jc w:val="center"/>
              <w:rPr>
                <w:rFonts w:cs="Arial"/>
                <w:color w:val="000000" w:themeColor="text1"/>
                <w:szCs w:val="16"/>
              </w:rPr>
            </w:pPr>
            <w:r w:rsidRPr="00781112">
              <w:rPr>
                <w:rFonts w:cs="Arial"/>
                <w:color w:val="000000" w:themeColor="text1"/>
                <w:szCs w:val="16"/>
              </w:rPr>
              <w:t>60.50%</w:t>
            </w:r>
          </w:p>
        </w:tc>
        <w:tc>
          <w:tcPr>
            <w:tcW w:w="958" w:type="pct"/>
            <w:vAlign w:val="center"/>
          </w:tcPr>
          <w:p w14:paraId="40137C22" w14:textId="775C9D4C" w:rsidR="00B14519" w:rsidRPr="00781112" w:rsidRDefault="00B14519" w:rsidP="00D62058">
            <w:pPr>
              <w:jc w:val="center"/>
              <w:rPr>
                <w:rFonts w:cs="Arial"/>
                <w:color w:val="000000" w:themeColor="text1"/>
                <w:szCs w:val="16"/>
              </w:rPr>
            </w:pPr>
            <w:r w:rsidRPr="00781112">
              <w:rPr>
                <w:color w:val="000000" w:themeColor="text1"/>
                <w:szCs w:val="16"/>
              </w:rPr>
              <w:t>61.00%</w:t>
            </w:r>
          </w:p>
        </w:tc>
        <w:tc>
          <w:tcPr>
            <w:tcW w:w="958" w:type="pct"/>
            <w:vAlign w:val="center"/>
          </w:tcPr>
          <w:p w14:paraId="468DEAEF" w14:textId="0B21BE62" w:rsidR="00B14519" w:rsidRPr="00781112" w:rsidRDefault="00B14519" w:rsidP="00D62058">
            <w:pPr>
              <w:jc w:val="center"/>
              <w:rPr>
                <w:rFonts w:cs="Arial"/>
                <w:color w:val="000000" w:themeColor="text1"/>
                <w:szCs w:val="16"/>
              </w:rPr>
            </w:pPr>
            <w:r w:rsidRPr="00781112">
              <w:rPr>
                <w:color w:val="000000" w:themeColor="text1"/>
                <w:szCs w:val="16"/>
              </w:rPr>
              <w:t>61.50%</w:t>
            </w:r>
          </w:p>
        </w:tc>
        <w:tc>
          <w:tcPr>
            <w:tcW w:w="958" w:type="pct"/>
            <w:vAlign w:val="center"/>
          </w:tcPr>
          <w:p w14:paraId="4D7AB0B5" w14:textId="5F153351" w:rsidR="00B14519" w:rsidRPr="00781112" w:rsidRDefault="00B14519" w:rsidP="00D62058">
            <w:pPr>
              <w:jc w:val="center"/>
              <w:rPr>
                <w:rFonts w:cs="Arial"/>
                <w:color w:val="000000" w:themeColor="text1"/>
                <w:szCs w:val="16"/>
              </w:rPr>
            </w:pPr>
            <w:r w:rsidRPr="00781112">
              <w:rPr>
                <w:color w:val="000000" w:themeColor="text1"/>
                <w:szCs w:val="16"/>
              </w:rPr>
              <w:t>62.00%</w:t>
            </w:r>
          </w:p>
        </w:tc>
        <w:tc>
          <w:tcPr>
            <w:tcW w:w="958" w:type="pct"/>
            <w:vAlign w:val="center"/>
          </w:tcPr>
          <w:p w14:paraId="76DA0071" w14:textId="5377DF32" w:rsidR="00B14519" w:rsidRPr="00781112" w:rsidRDefault="00B14519" w:rsidP="00D62058">
            <w:pPr>
              <w:jc w:val="center"/>
              <w:rPr>
                <w:rFonts w:cs="Arial"/>
                <w:color w:val="000000" w:themeColor="text1"/>
                <w:szCs w:val="16"/>
              </w:rPr>
            </w:pPr>
            <w:r w:rsidRPr="00781112">
              <w:rPr>
                <w:color w:val="000000" w:themeColor="text1"/>
                <w:szCs w:val="16"/>
              </w:rPr>
              <w:t>62.50%</w:t>
            </w:r>
          </w:p>
        </w:tc>
      </w:tr>
      <w:tr w:rsidR="00B14519" w:rsidRPr="00781112" w14:paraId="6D44D644" w14:textId="2AAE55F2" w:rsidTr="00451D7E">
        <w:trPr>
          <w:trHeight w:val="340"/>
        </w:trPr>
        <w:tc>
          <w:tcPr>
            <w:tcW w:w="267" w:type="pct"/>
            <w:shd w:val="clear" w:color="auto" w:fill="auto"/>
            <w:vAlign w:val="center"/>
          </w:tcPr>
          <w:p w14:paraId="2E46543E" w14:textId="484E799D" w:rsidR="00B14519" w:rsidRPr="00781112" w:rsidRDefault="00B14519" w:rsidP="00D62058">
            <w:pPr>
              <w:rPr>
                <w:rFonts w:cs="Arial"/>
                <w:color w:val="000000" w:themeColor="text1"/>
                <w:szCs w:val="16"/>
              </w:rPr>
            </w:pPr>
            <w:r w:rsidRPr="00781112">
              <w:rPr>
                <w:rFonts w:cs="Arial"/>
                <w:color w:val="000000" w:themeColor="text1"/>
                <w:szCs w:val="16"/>
              </w:rPr>
              <w:t>Target B1 &gt;=</w:t>
            </w:r>
          </w:p>
        </w:tc>
        <w:tc>
          <w:tcPr>
            <w:tcW w:w="901" w:type="pct"/>
            <w:shd w:val="clear" w:color="auto" w:fill="auto"/>
            <w:vAlign w:val="center"/>
          </w:tcPr>
          <w:p w14:paraId="5B1AAB6F" w14:textId="09987858" w:rsidR="00B14519" w:rsidRPr="00781112" w:rsidRDefault="00B14519" w:rsidP="00D62058">
            <w:pPr>
              <w:jc w:val="center"/>
              <w:rPr>
                <w:rFonts w:cs="Arial"/>
                <w:color w:val="000000" w:themeColor="text1"/>
                <w:szCs w:val="16"/>
              </w:rPr>
            </w:pPr>
            <w:r w:rsidRPr="00781112">
              <w:rPr>
                <w:rFonts w:cs="Arial"/>
                <w:color w:val="000000" w:themeColor="text1"/>
                <w:szCs w:val="16"/>
              </w:rPr>
              <w:t>93.50%</w:t>
            </w:r>
          </w:p>
        </w:tc>
        <w:tc>
          <w:tcPr>
            <w:tcW w:w="958" w:type="pct"/>
            <w:vAlign w:val="center"/>
          </w:tcPr>
          <w:p w14:paraId="7D23F948" w14:textId="1533C8CE" w:rsidR="00B14519" w:rsidRPr="00781112" w:rsidRDefault="00B14519" w:rsidP="00D62058">
            <w:pPr>
              <w:jc w:val="center"/>
              <w:rPr>
                <w:rFonts w:cs="Arial"/>
                <w:color w:val="000000" w:themeColor="text1"/>
                <w:szCs w:val="16"/>
              </w:rPr>
            </w:pPr>
            <w:r w:rsidRPr="00781112">
              <w:rPr>
                <w:color w:val="000000" w:themeColor="text1"/>
                <w:szCs w:val="16"/>
              </w:rPr>
              <w:t>94.00%</w:t>
            </w:r>
          </w:p>
        </w:tc>
        <w:tc>
          <w:tcPr>
            <w:tcW w:w="958" w:type="pct"/>
            <w:vAlign w:val="center"/>
          </w:tcPr>
          <w:p w14:paraId="681F2D39" w14:textId="3BA1761B" w:rsidR="00B14519" w:rsidRPr="00781112" w:rsidRDefault="00B14519" w:rsidP="00D62058">
            <w:pPr>
              <w:jc w:val="center"/>
              <w:rPr>
                <w:rFonts w:cs="Arial"/>
                <w:color w:val="000000" w:themeColor="text1"/>
                <w:szCs w:val="16"/>
              </w:rPr>
            </w:pPr>
            <w:r w:rsidRPr="00781112">
              <w:rPr>
                <w:color w:val="000000" w:themeColor="text1"/>
                <w:szCs w:val="16"/>
              </w:rPr>
              <w:t>94.00%</w:t>
            </w:r>
          </w:p>
        </w:tc>
        <w:tc>
          <w:tcPr>
            <w:tcW w:w="958" w:type="pct"/>
            <w:vAlign w:val="center"/>
          </w:tcPr>
          <w:p w14:paraId="0F16DD78" w14:textId="0278257D" w:rsidR="00B14519" w:rsidRPr="00781112" w:rsidRDefault="00B14519" w:rsidP="00D62058">
            <w:pPr>
              <w:jc w:val="center"/>
              <w:rPr>
                <w:rFonts w:cs="Arial"/>
                <w:color w:val="000000" w:themeColor="text1"/>
                <w:szCs w:val="16"/>
              </w:rPr>
            </w:pPr>
            <w:r w:rsidRPr="00781112">
              <w:rPr>
                <w:color w:val="000000" w:themeColor="text1"/>
                <w:szCs w:val="16"/>
              </w:rPr>
              <w:t>94.50%</w:t>
            </w:r>
          </w:p>
        </w:tc>
        <w:tc>
          <w:tcPr>
            <w:tcW w:w="958" w:type="pct"/>
            <w:vAlign w:val="center"/>
          </w:tcPr>
          <w:p w14:paraId="7B3AFE6F" w14:textId="6724BF4D" w:rsidR="00B14519" w:rsidRPr="00781112" w:rsidRDefault="00B14519" w:rsidP="00D62058">
            <w:pPr>
              <w:jc w:val="center"/>
              <w:rPr>
                <w:rFonts w:cs="Arial"/>
                <w:color w:val="000000" w:themeColor="text1"/>
                <w:szCs w:val="16"/>
              </w:rPr>
            </w:pPr>
            <w:r w:rsidRPr="00781112">
              <w:rPr>
                <w:color w:val="000000" w:themeColor="text1"/>
                <w:szCs w:val="16"/>
              </w:rPr>
              <w:t>94.50%</w:t>
            </w:r>
          </w:p>
        </w:tc>
      </w:tr>
      <w:tr w:rsidR="00B14519" w:rsidRPr="00781112" w14:paraId="23425CD0" w14:textId="2D15C5CA" w:rsidTr="00451D7E">
        <w:trPr>
          <w:trHeight w:val="340"/>
        </w:trPr>
        <w:tc>
          <w:tcPr>
            <w:tcW w:w="267" w:type="pct"/>
            <w:shd w:val="clear" w:color="auto" w:fill="auto"/>
            <w:vAlign w:val="center"/>
          </w:tcPr>
          <w:p w14:paraId="7DAA620C" w14:textId="6D6F79FD" w:rsidR="00B14519" w:rsidRPr="00781112" w:rsidRDefault="00B14519" w:rsidP="00D62058">
            <w:pPr>
              <w:rPr>
                <w:rFonts w:cs="Arial"/>
                <w:color w:val="000000" w:themeColor="text1"/>
                <w:szCs w:val="16"/>
              </w:rPr>
            </w:pPr>
            <w:r w:rsidRPr="00781112">
              <w:rPr>
                <w:rFonts w:cs="Arial"/>
                <w:color w:val="000000" w:themeColor="text1"/>
                <w:szCs w:val="16"/>
              </w:rPr>
              <w:t>Target B2 &gt;=</w:t>
            </w:r>
          </w:p>
        </w:tc>
        <w:tc>
          <w:tcPr>
            <w:tcW w:w="901" w:type="pct"/>
            <w:shd w:val="clear" w:color="auto" w:fill="auto"/>
            <w:vAlign w:val="center"/>
          </w:tcPr>
          <w:p w14:paraId="0C8065AA" w14:textId="2AC4B20C" w:rsidR="00B14519" w:rsidRPr="00781112" w:rsidRDefault="00B14519" w:rsidP="00D62058">
            <w:pPr>
              <w:jc w:val="center"/>
              <w:rPr>
                <w:rFonts w:cs="Arial"/>
                <w:color w:val="000000" w:themeColor="text1"/>
                <w:szCs w:val="16"/>
              </w:rPr>
            </w:pPr>
            <w:r w:rsidRPr="00781112">
              <w:rPr>
                <w:rFonts w:cs="Arial"/>
                <w:color w:val="000000" w:themeColor="text1"/>
                <w:szCs w:val="16"/>
              </w:rPr>
              <w:t>59.50%</w:t>
            </w:r>
          </w:p>
        </w:tc>
        <w:tc>
          <w:tcPr>
            <w:tcW w:w="958" w:type="pct"/>
            <w:vAlign w:val="center"/>
          </w:tcPr>
          <w:p w14:paraId="3751A50F" w14:textId="3383D4A8" w:rsidR="00B14519" w:rsidRPr="00781112" w:rsidRDefault="00B14519" w:rsidP="00D62058">
            <w:pPr>
              <w:jc w:val="center"/>
              <w:rPr>
                <w:rFonts w:cs="Arial"/>
                <w:color w:val="000000" w:themeColor="text1"/>
                <w:szCs w:val="16"/>
              </w:rPr>
            </w:pPr>
            <w:r w:rsidRPr="00781112">
              <w:rPr>
                <w:color w:val="000000" w:themeColor="text1"/>
                <w:szCs w:val="16"/>
              </w:rPr>
              <w:t>60.00%</w:t>
            </w:r>
          </w:p>
        </w:tc>
        <w:tc>
          <w:tcPr>
            <w:tcW w:w="958" w:type="pct"/>
            <w:vAlign w:val="center"/>
          </w:tcPr>
          <w:p w14:paraId="5235FFA6" w14:textId="4138DEB0" w:rsidR="00B14519" w:rsidRPr="00781112" w:rsidRDefault="00B14519" w:rsidP="00D62058">
            <w:pPr>
              <w:jc w:val="center"/>
              <w:rPr>
                <w:rFonts w:cs="Arial"/>
                <w:color w:val="000000" w:themeColor="text1"/>
                <w:szCs w:val="16"/>
              </w:rPr>
            </w:pPr>
            <w:r w:rsidRPr="00781112">
              <w:rPr>
                <w:color w:val="000000" w:themeColor="text1"/>
                <w:szCs w:val="16"/>
              </w:rPr>
              <w:t>60.50%</w:t>
            </w:r>
          </w:p>
        </w:tc>
        <w:tc>
          <w:tcPr>
            <w:tcW w:w="958" w:type="pct"/>
            <w:vAlign w:val="center"/>
          </w:tcPr>
          <w:p w14:paraId="7C9D5CEA" w14:textId="1B842876" w:rsidR="00B14519" w:rsidRPr="00781112" w:rsidRDefault="00B14519" w:rsidP="00D62058">
            <w:pPr>
              <w:jc w:val="center"/>
              <w:rPr>
                <w:rFonts w:cs="Arial"/>
                <w:color w:val="000000" w:themeColor="text1"/>
                <w:szCs w:val="16"/>
              </w:rPr>
            </w:pPr>
            <w:r w:rsidRPr="00781112">
              <w:rPr>
                <w:color w:val="000000" w:themeColor="text1"/>
                <w:szCs w:val="16"/>
              </w:rPr>
              <w:t>61.00%</w:t>
            </w:r>
          </w:p>
        </w:tc>
        <w:tc>
          <w:tcPr>
            <w:tcW w:w="958" w:type="pct"/>
            <w:vAlign w:val="center"/>
          </w:tcPr>
          <w:p w14:paraId="3C028680" w14:textId="00A3EDF9" w:rsidR="00B14519" w:rsidRPr="00781112" w:rsidRDefault="00B14519" w:rsidP="00D62058">
            <w:pPr>
              <w:jc w:val="center"/>
              <w:rPr>
                <w:rFonts w:cs="Arial"/>
                <w:color w:val="000000" w:themeColor="text1"/>
                <w:szCs w:val="16"/>
              </w:rPr>
            </w:pPr>
            <w:r w:rsidRPr="00781112">
              <w:rPr>
                <w:color w:val="000000" w:themeColor="text1"/>
                <w:szCs w:val="16"/>
              </w:rPr>
              <w:t>61.50%</w:t>
            </w:r>
          </w:p>
        </w:tc>
      </w:tr>
      <w:tr w:rsidR="00B14519" w:rsidRPr="00781112" w14:paraId="3A0A624F" w14:textId="2DA1E496" w:rsidTr="00451D7E">
        <w:trPr>
          <w:trHeight w:val="340"/>
        </w:trPr>
        <w:tc>
          <w:tcPr>
            <w:tcW w:w="267" w:type="pct"/>
            <w:shd w:val="clear" w:color="auto" w:fill="auto"/>
            <w:vAlign w:val="center"/>
          </w:tcPr>
          <w:p w14:paraId="04DCCFAA" w14:textId="5591B965" w:rsidR="00B14519" w:rsidRPr="00781112" w:rsidRDefault="00B14519" w:rsidP="00D62058">
            <w:pPr>
              <w:rPr>
                <w:rFonts w:cs="Arial"/>
                <w:color w:val="000000" w:themeColor="text1"/>
                <w:szCs w:val="16"/>
              </w:rPr>
            </w:pPr>
            <w:r w:rsidRPr="00781112">
              <w:rPr>
                <w:rFonts w:cs="Arial"/>
                <w:color w:val="000000" w:themeColor="text1"/>
                <w:szCs w:val="16"/>
              </w:rPr>
              <w:t>Target C1 &gt;=</w:t>
            </w:r>
          </w:p>
        </w:tc>
        <w:tc>
          <w:tcPr>
            <w:tcW w:w="901" w:type="pct"/>
            <w:shd w:val="clear" w:color="auto" w:fill="auto"/>
            <w:vAlign w:val="center"/>
          </w:tcPr>
          <w:p w14:paraId="26176209" w14:textId="03FEA13C" w:rsidR="00B14519" w:rsidRPr="00781112" w:rsidRDefault="00B14519" w:rsidP="00D62058">
            <w:pPr>
              <w:jc w:val="center"/>
              <w:rPr>
                <w:rFonts w:cs="Arial"/>
                <w:color w:val="000000" w:themeColor="text1"/>
                <w:szCs w:val="16"/>
              </w:rPr>
            </w:pPr>
            <w:r w:rsidRPr="00781112">
              <w:rPr>
                <w:rFonts w:cs="Arial"/>
                <w:color w:val="000000" w:themeColor="text1"/>
                <w:szCs w:val="16"/>
              </w:rPr>
              <w:t>93.50%</w:t>
            </w:r>
          </w:p>
        </w:tc>
        <w:tc>
          <w:tcPr>
            <w:tcW w:w="958" w:type="pct"/>
            <w:vAlign w:val="center"/>
          </w:tcPr>
          <w:p w14:paraId="36CB20B0" w14:textId="212CC3E5" w:rsidR="00B14519" w:rsidRPr="00781112" w:rsidRDefault="00B14519" w:rsidP="00D62058">
            <w:pPr>
              <w:jc w:val="center"/>
              <w:rPr>
                <w:rFonts w:cs="Arial"/>
                <w:color w:val="000000" w:themeColor="text1"/>
                <w:szCs w:val="16"/>
              </w:rPr>
            </w:pPr>
            <w:r w:rsidRPr="00781112">
              <w:rPr>
                <w:color w:val="000000" w:themeColor="text1"/>
                <w:szCs w:val="16"/>
              </w:rPr>
              <w:t>94.00%</w:t>
            </w:r>
          </w:p>
        </w:tc>
        <w:tc>
          <w:tcPr>
            <w:tcW w:w="958" w:type="pct"/>
            <w:vAlign w:val="center"/>
          </w:tcPr>
          <w:p w14:paraId="29B1E3BE" w14:textId="0FFFD561" w:rsidR="00B14519" w:rsidRPr="00781112" w:rsidRDefault="00B14519" w:rsidP="00D62058">
            <w:pPr>
              <w:jc w:val="center"/>
              <w:rPr>
                <w:rFonts w:cs="Arial"/>
                <w:color w:val="000000" w:themeColor="text1"/>
                <w:szCs w:val="16"/>
              </w:rPr>
            </w:pPr>
            <w:r w:rsidRPr="00781112">
              <w:rPr>
                <w:color w:val="000000" w:themeColor="text1"/>
                <w:szCs w:val="16"/>
              </w:rPr>
              <w:t>94.00%</w:t>
            </w:r>
          </w:p>
        </w:tc>
        <w:tc>
          <w:tcPr>
            <w:tcW w:w="958" w:type="pct"/>
            <w:vAlign w:val="center"/>
          </w:tcPr>
          <w:p w14:paraId="287AC7C4" w14:textId="5C0E3064" w:rsidR="00B14519" w:rsidRPr="00781112" w:rsidRDefault="00B14519" w:rsidP="00D62058">
            <w:pPr>
              <w:jc w:val="center"/>
              <w:rPr>
                <w:rFonts w:cs="Arial"/>
                <w:color w:val="000000" w:themeColor="text1"/>
                <w:szCs w:val="16"/>
              </w:rPr>
            </w:pPr>
            <w:r w:rsidRPr="00781112">
              <w:rPr>
                <w:color w:val="000000" w:themeColor="text1"/>
                <w:szCs w:val="16"/>
              </w:rPr>
              <w:t>94.50%</w:t>
            </w:r>
          </w:p>
        </w:tc>
        <w:tc>
          <w:tcPr>
            <w:tcW w:w="958" w:type="pct"/>
            <w:vAlign w:val="center"/>
          </w:tcPr>
          <w:p w14:paraId="094E7895" w14:textId="27006BDD" w:rsidR="00B14519" w:rsidRPr="00781112" w:rsidRDefault="00B14519" w:rsidP="00D62058">
            <w:pPr>
              <w:jc w:val="center"/>
              <w:rPr>
                <w:rFonts w:cs="Arial"/>
                <w:color w:val="000000" w:themeColor="text1"/>
                <w:szCs w:val="16"/>
              </w:rPr>
            </w:pPr>
            <w:r w:rsidRPr="00781112">
              <w:rPr>
                <w:color w:val="000000" w:themeColor="text1"/>
                <w:szCs w:val="16"/>
              </w:rPr>
              <w:t>94.50%</w:t>
            </w:r>
          </w:p>
        </w:tc>
      </w:tr>
      <w:tr w:rsidR="00B14519" w:rsidRPr="00781112" w14:paraId="7FD0F8D0" w14:textId="6F160F3D" w:rsidTr="00451D7E">
        <w:trPr>
          <w:trHeight w:val="340"/>
        </w:trPr>
        <w:tc>
          <w:tcPr>
            <w:tcW w:w="267" w:type="pct"/>
            <w:shd w:val="clear" w:color="auto" w:fill="auto"/>
            <w:vAlign w:val="center"/>
          </w:tcPr>
          <w:p w14:paraId="16DEC104" w14:textId="6A28B34F" w:rsidR="00B14519" w:rsidRPr="00781112" w:rsidRDefault="00B14519" w:rsidP="00AD5583">
            <w:pPr>
              <w:rPr>
                <w:rFonts w:cs="Arial"/>
                <w:color w:val="000000" w:themeColor="text1"/>
                <w:szCs w:val="16"/>
              </w:rPr>
            </w:pPr>
            <w:r w:rsidRPr="00781112">
              <w:rPr>
                <w:rFonts w:cs="Arial"/>
                <w:color w:val="000000" w:themeColor="text1"/>
                <w:szCs w:val="16"/>
              </w:rPr>
              <w:t>Target C2 &gt;=</w:t>
            </w:r>
          </w:p>
        </w:tc>
        <w:tc>
          <w:tcPr>
            <w:tcW w:w="901" w:type="pct"/>
            <w:shd w:val="clear" w:color="auto" w:fill="auto"/>
            <w:vAlign w:val="center"/>
          </w:tcPr>
          <w:p w14:paraId="7A9F674E" w14:textId="54CCEACA" w:rsidR="00B14519" w:rsidRPr="00781112" w:rsidRDefault="00B14519" w:rsidP="00AD5583">
            <w:pPr>
              <w:jc w:val="center"/>
              <w:rPr>
                <w:rFonts w:cs="Arial"/>
                <w:color w:val="000000" w:themeColor="text1"/>
                <w:szCs w:val="16"/>
              </w:rPr>
            </w:pPr>
            <w:r w:rsidRPr="00781112">
              <w:rPr>
                <w:rFonts w:cs="Arial"/>
                <w:color w:val="000000" w:themeColor="text1"/>
                <w:szCs w:val="16"/>
              </w:rPr>
              <w:t>71.00%</w:t>
            </w:r>
          </w:p>
        </w:tc>
        <w:tc>
          <w:tcPr>
            <w:tcW w:w="958" w:type="pct"/>
            <w:vAlign w:val="center"/>
          </w:tcPr>
          <w:p w14:paraId="1A528F77" w14:textId="13F14B9B" w:rsidR="00B14519" w:rsidRPr="00781112" w:rsidRDefault="00B14519" w:rsidP="00AD5583">
            <w:pPr>
              <w:jc w:val="center"/>
              <w:rPr>
                <w:rFonts w:cs="Arial"/>
                <w:color w:val="000000" w:themeColor="text1"/>
                <w:szCs w:val="16"/>
              </w:rPr>
            </w:pPr>
            <w:r w:rsidRPr="00781112">
              <w:rPr>
                <w:color w:val="000000" w:themeColor="text1"/>
                <w:szCs w:val="16"/>
              </w:rPr>
              <w:t>71.50%</w:t>
            </w:r>
          </w:p>
          <w:p w14:paraId="3C5378CB" w14:textId="5A59E833" w:rsidR="00B14519" w:rsidRPr="00781112" w:rsidRDefault="00B14519" w:rsidP="00AD5583">
            <w:pPr>
              <w:jc w:val="center"/>
              <w:rPr>
                <w:rFonts w:cs="Arial"/>
                <w:color w:val="000000" w:themeColor="text1"/>
                <w:szCs w:val="16"/>
              </w:rPr>
            </w:pPr>
          </w:p>
        </w:tc>
        <w:tc>
          <w:tcPr>
            <w:tcW w:w="958" w:type="pct"/>
            <w:vAlign w:val="center"/>
          </w:tcPr>
          <w:p w14:paraId="694DD14B" w14:textId="0FC2BAFA" w:rsidR="00B14519" w:rsidRPr="00781112" w:rsidRDefault="00B14519" w:rsidP="00AD5583">
            <w:pPr>
              <w:jc w:val="center"/>
              <w:rPr>
                <w:rFonts w:cs="Arial"/>
                <w:color w:val="000000" w:themeColor="text1"/>
                <w:szCs w:val="16"/>
              </w:rPr>
            </w:pPr>
            <w:r w:rsidRPr="00781112">
              <w:rPr>
                <w:color w:val="000000" w:themeColor="text1"/>
                <w:szCs w:val="16"/>
              </w:rPr>
              <w:t>72.00%</w:t>
            </w:r>
          </w:p>
        </w:tc>
        <w:tc>
          <w:tcPr>
            <w:tcW w:w="958" w:type="pct"/>
            <w:vAlign w:val="center"/>
          </w:tcPr>
          <w:p w14:paraId="69632A5F" w14:textId="59530F4E" w:rsidR="00B14519" w:rsidRPr="00781112" w:rsidRDefault="00B14519" w:rsidP="00AD5583">
            <w:pPr>
              <w:jc w:val="center"/>
              <w:rPr>
                <w:rFonts w:cs="Arial"/>
                <w:color w:val="000000" w:themeColor="text1"/>
                <w:szCs w:val="16"/>
              </w:rPr>
            </w:pPr>
            <w:r w:rsidRPr="00781112">
              <w:rPr>
                <w:color w:val="000000" w:themeColor="text1"/>
                <w:szCs w:val="16"/>
              </w:rPr>
              <w:t>72.50%</w:t>
            </w:r>
          </w:p>
        </w:tc>
        <w:tc>
          <w:tcPr>
            <w:tcW w:w="958" w:type="pct"/>
            <w:vAlign w:val="center"/>
          </w:tcPr>
          <w:p w14:paraId="1C5D6F95" w14:textId="3D16D545" w:rsidR="00B14519" w:rsidRPr="00781112" w:rsidRDefault="00B14519" w:rsidP="00AD5583">
            <w:pPr>
              <w:jc w:val="center"/>
              <w:rPr>
                <w:rFonts w:cs="Arial"/>
                <w:color w:val="000000" w:themeColor="text1"/>
                <w:szCs w:val="16"/>
              </w:rPr>
            </w:pPr>
            <w:r w:rsidRPr="00781112">
              <w:rPr>
                <w:color w:val="000000" w:themeColor="text1"/>
                <w:szCs w:val="16"/>
              </w:rPr>
              <w:t>73.00%</w:t>
            </w:r>
          </w:p>
        </w:tc>
      </w:tr>
    </w:tbl>
    <w:p w14:paraId="49CD323A" w14:textId="0F9742B3" w:rsidR="002D145D" w:rsidRPr="00781112" w:rsidRDefault="002D145D" w:rsidP="004369B2">
      <w:pPr>
        <w:rPr>
          <w:b/>
          <w:color w:val="000000" w:themeColor="text1"/>
        </w:rPr>
      </w:pPr>
      <w:r w:rsidRPr="00781112">
        <w:rPr>
          <w:b/>
          <w:color w:val="000000" w:themeColor="text1"/>
        </w:rPr>
        <w:t xml:space="preserve">Targets: Description of Stakeholder Input </w:t>
      </w:r>
    </w:p>
    <w:p w14:paraId="6276C0F6" w14:textId="56252E01" w:rsidR="002D145D" w:rsidRPr="00781112" w:rsidRDefault="002D145D" w:rsidP="002D145D">
      <w:pPr>
        <w:rPr>
          <w:rFonts w:cs="Arial"/>
          <w:color w:val="000000" w:themeColor="text1"/>
          <w:szCs w:val="16"/>
        </w:rPr>
      </w:pPr>
    </w:p>
    <w:p w14:paraId="1512BEE4" w14:textId="77777777" w:rsidR="007870F8" w:rsidRPr="00781112" w:rsidRDefault="007870F8" w:rsidP="004369B2">
      <w:pPr>
        <w:rPr>
          <w:color w:val="000000" w:themeColor="text1"/>
        </w:rPr>
      </w:pPr>
    </w:p>
    <w:p w14:paraId="4D0201C3" w14:textId="58BCD703" w:rsidR="008751D3" w:rsidRPr="00781112" w:rsidRDefault="0047313F">
      <w:pPr>
        <w:rPr>
          <w:b/>
          <w:color w:val="000000" w:themeColor="text1"/>
        </w:rPr>
      </w:pPr>
      <w:r>
        <w:rPr>
          <w:b/>
          <w:color w:val="000000" w:themeColor="text1"/>
        </w:rPr>
        <w:t>FFY 2021 SPP/APR Data</w:t>
      </w:r>
    </w:p>
    <w:p w14:paraId="75F01957" w14:textId="463160A4" w:rsidR="004B2C2D" w:rsidRPr="00781112" w:rsidRDefault="004B2C2D">
      <w:pPr>
        <w:rPr>
          <w:rFonts w:cs="Arial"/>
          <w:b/>
          <w:color w:val="000000" w:themeColor="text1"/>
          <w:szCs w:val="16"/>
        </w:rPr>
      </w:pPr>
      <w:r w:rsidRPr="00781112">
        <w:rPr>
          <w:rFonts w:cs="Arial"/>
          <w:b/>
          <w:color w:val="000000" w:themeColor="text1"/>
          <w:szCs w:val="16"/>
        </w:rPr>
        <w:t>Number of preschool children aged 3 through 5 with IEPs assessed</w:t>
      </w:r>
    </w:p>
    <w:p w14:paraId="6F555236" w14:textId="5F84A3B7" w:rsidR="004B2C2D" w:rsidRPr="00781112" w:rsidRDefault="004B2C2D" w:rsidP="004369B2">
      <w:pPr>
        <w:rPr>
          <w:color w:val="000000" w:themeColor="text1"/>
        </w:rPr>
      </w:pPr>
      <w:r w:rsidRPr="00781112">
        <w:rPr>
          <w:rFonts w:cs="Arial"/>
          <w:color w:val="000000" w:themeColor="text1"/>
          <w:szCs w:val="16"/>
        </w:rPr>
        <w:t>3,053</w:t>
      </w:r>
    </w:p>
    <w:p w14:paraId="6AF5CF56"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350"/>
        <w:gridCol w:w="1720"/>
        <w:gridCol w:w="1720"/>
      </w:tblGrid>
      <w:tr w:rsidR="005C29F8" w:rsidRPr="00781112" w14:paraId="7F9D0F86" w14:textId="5773C98B" w:rsidTr="0033429D">
        <w:trPr>
          <w:trHeight w:val="287"/>
          <w:tblHeader/>
        </w:trPr>
        <w:tc>
          <w:tcPr>
            <w:tcW w:w="3406" w:type="pct"/>
            <w:shd w:val="clear" w:color="auto" w:fill="auto"/>
            <w:vAlign w:val="bottom"/>
          </w:tcPr>
          <w:p w14:paraId="732006A2" w14:textId="4E4F994E" w:rsidR="008751D3" w:rsidRPr="00781112" w:rsidRDefault="00043AAB" w:rsidP="0024351A">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shd w:val="clear" w:color="auto" w:fill="auto"/>
            <w:vAlign w:val="bottom"/>
          </w:tcPr>
          <w:p w14:paraId="2EAB6060"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shd w:val="clear" w:color="auto" w:fill="auto"/>
            <w:vAlign w:val="bottom"/>
          </w:tcPr>
          <w:p w14:paraId="1007C28C" w14:textId="52952731"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D115F3B" w14:textId="14BF41AA" w:rsidTr="00AB0D6A">
        <w:trPr>
          <w:trHeight w:val="361"/>
        </w:trPr>
        <w:tc>
          <w:tcPr>
            <w:tcW w:w="3406" w:type="pct"/>
            <w:shd w:val="clear" w:color="auto" w:fill="auto"/>
            <w:vAlign w:val="center"/>
          </w:tcPr>
          <w:p w14:paraId="476980EA"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shd w:val="clear" w:color="auto" w:fill="auto"/>
            <w:vAlign w:val="center"/>
          </w:tcPr>
          <w:p w14:paraId="358366F4" w14:textId="107FC5B1" w:rsidR="00A86385" w:rsidRPr="00781112" w:rsidRDefault="002B7490" w:rsidP="00A018D4">
            <w:pPr>
              <w:jc w:val="center"/>
              <w:rPr>
                <w:rFonts w:cs="Arial"/>
                <w:szCs w:val="16"/>
              </w:rPr>
            </w:pPr>
            <w:r w:rsidRPr="00781112">
              <w:rPr>
                <w:rFonts w:cs="Arial"/>
                <w:szCs w:val="16"/>
              </w:rPr>
              <w:t>4</w:t>
            </w:r>
          </w:p>
        </w:tc>
        <w:tc>
          <w:tcPr>
            <w:tcW w:w="797" w:type="pct"/>
            <w:shd w:val="clear" w:color="auto" w:fill="auto"/>
            <w:vAlign w:val="center"/>
          </w:tcPr>
          <w:p w14:paraId="0846D135" w14:textId="1043D337" w:rsidR="00A86385" w:rsidRPr="00781112" w:rsidRDefault="002B7490" w:rsidP="00A018D4">
            <w:pPr>
              <w:jc w:val="center"/>
              <w:rPr>
                <w:rFonts w:cs="Arial"/>
                <w:szCs w:val="16"/>
              </w:rPr>
            </w:pPr>
            <w:r w:rsidRPr="00781112">
              <w:rPr>
                <w:rFonts w:cs="Arial"/>
                <w:szCs w:val="16"/>
              </w:rPr>
              <w:t>0.13%</w:t>
            </w:r>
          </w:p>
        </w:tc>
      </w:tr>
      <w:tr w:rsidR="005C29F8" w:rsidRPr="00781112" w14:paraId="779019AB" w14:textId="1FD48572" w:rsidTr="00AB0D6A">
        <w:trPr>
          <w:trHeight w:val="361"/>
        </w:trPr>
        <w:tc>
          <w:tcPr>
            <w:tcW w:w="3406" w:type="pct"/>
            <w:shd w:val="clear" w:color="auto" w:fill="auto"/>
            <w:vAlign w:val="center"/>
          </w:tcPr>
          <w:p w14:paraId="6E7F23F0" w14:textId="77777777" w:rsidR="00A86385" w:rsidRPr="00781112" w:rsidRDefault="00A86385" w:rsidP="00A86385">
            <w:pPr>
              <w:rPr>
                <w:rFonts w:cs="Arial"/>
                <w:szCs w:val="16"/>
              </w:rPr>
            </w:pPr>
            <w:r w:rsidRPr="00781112">
              <w:rPr>
                <w:rFonts w:cs="Arial"/>
                <w:szCs w:val="16"/>
              </w:rPr>
              <w:t>b. Preschool children who improved functioning but not sufficient to move nearer to functioning comparable to same-aged peers</w:t>
            </w:r>
          </w:p>
        </w:tc>
        <w:tc>
          <w:tcPr>
            <w:tcW w:w="797" w:type="pct"/>
            <w:shd w:val="clear" w:color="auto" w:fill="auto"/>
            <w:vAlign w:val="center"/>
          </w:tcPr>
          <w:p w14:paraId="1E928F4C" w14:textId="54E616E3" w:rsidR="00A86385" w:rsidRPr="00781112" w:rsidRDefault="002B7490" w:rsidP="00A018D4">
            <w:pPr>
              <w:jc w:val="center"/>
              <w:rPr>
                <w:rFonts w:cs="Arial"/>
                <w:szCs w:val="16"/>
              </w:rPr>
            </w:pPr>
            <w:r w:rsidRPr="00781112">
              <w:rPr>
                <w:rFonts w:cs="Arial"/>
                <w:szCs w:val="16"/>
              </w:rPr>
              <w:t>98</w:t>
            </w:r>
          </w:p>
        </w:tc>
        <w:tc>
          <w:tcPr>
            <w:tcW w:w="797" w:type="pct"/>
            <w:shd w:val="clear" w:color="auto" w:fill="auto"/>
            <w:vAlign w:val="center"/>
          </w:tcPr>
          <w:p w14:paraId="371019D1" w14:textId="49035C13" w:rsidR="00A86385" w:rsidRPr="00781112" w:rsidRDefault="002B7490" w:rsidP="00A018D4">
            <w:pPr>
              <w:jc w:val="center"/>
              <w:rPr>
                <w:rFonts w:cs="Arial"/>
                <w:szCs w:val="16"/>
              </w:rPr>
            </w:pPr>
            <w:r w:rsidRPr="00781112">
              <w:rPr>
                <w:rFonts w:cs="Arial"/>
                <w:szCs w:val="16"/>
              </w:rPr>
              <w:t>3.21%</w:t>
            </w:r>
          </w:p>
        </w:tc>
      </w:tr>
      <w:tr w:rsidR="005C29F8" w:rsidRPr="00781112" w14:paraId="3A078806" w14:textId="7FBB31A0" w:rsidTr="00AB0D6A">
        <w:trPr>
          <w:trHeight w:val="361"/>
        </w:trPr>
        <w:tc>
          <w:tcPr>
            <w:tcW w:w="3406" w:type="pct"/>
            <w:shd w:val="clear" w:color="auto" w:fill="auto"/>
            <w:vAlign w:val="center"/>
          </w:tcPr>
          <w:p w14:paraId="6E35A4C3" w14:textId="77777777" w:rsidR="00A86385" w:rsidRPr="00781112" w:rsidRDefault="00A86385" w:rsidP="00A86385">
            <w:pPr>
              <w:rPr>
                <w:rFonts w:cs="Arial"/>
                <w:szCs w:val="16"/>
              </w:rPr>
            </w:pPr>
            <w:r w:rsidRPr="00781112">
              <w:rPr>
                <w:rFonts w:cs="Arial"/>
                <w:szCs w:val="16"/>
              </w:rPr>
              <w:t>c. Preschool children who improved functioning to a level nearer to same-aged peers but did not reach it</w:t>
            </w:r>
          </w:p>
        </w:tc>
        <w:tc>
          <w:tcPr>
            <w:tcW w:w="797" w:type="pct"/>
            <w:shd w:val="clear" w:color="auto" w:fill="auto"/>
            <w:vAlign w:val="center"/>
          </w:tcPr>
          <w:p w14:paraId="1AFEBF8F" w14:textId="2E4650C8" w:rsidR="00A86385" w:rsidRPr="00781112" w:rsidRDefault="002B7490" w:rsidP="00A018D4">
            <w:pPr>
              <w:jc w:val="center"/>
              <w:rPr>
                <w:rFonts w:cs="Arial"/>
                <w:szCs w:val="16"/>
              </w:rPr>
            </w:pPr>
            <w:r w:rsidRPr="00781112">
              <w:rPr>
                <w:rFonts w:cs="Arial"/>
                <w:szCs w:val="16"/>
              </w:rPr>
              <w:t>1,061</w:t>
            </w:r>
          </w:p>
        </w:tc>
        <w:tc>
          <w:tcPr>
            <w:tcW w:w="797" w:type="pct"/>
            <w:shd w:val="clear" w:color="auto" w:fill="auto"/>
            <w:vAlign w:val="center"/>
          </w:tcPr>
          <w:p w14:paraId="4B6BCB00" w14:textId="047D3E20" w:rsidR="00A86385" w:rsidRPr="00781112" w:rsidRDefault="002B7490" w:rsidP="00A018D4">
            <w:pPr>
              <w:jc w:val="center"/>
              <w:rPr>
                <w:rFonts w:cs="Arial"/>
                <w:szCs w:val="16"/>
              </w:rPr>
            </w:pPr>
            <w:r w:rsidRPr="00781112">
              <w:rPr>
                <w:rFonts w:cs="Arial"/>
                <w:szCs w:val="16"/>
              </w:rPr>
              <w:t>34.75%</w:t>
            </w:r>
          </w:p>
        </w:tc>
      </w:tr>
      <w:tr w:rsidR="005C29F8" w:rsidRPr="00781112" w14:paraId="37EE0376" w14:textId="01578CDB" w:rsidTr="00AB0D6A">
        <w:trPr>
          <w:trHeight w:val="361"/>
        </w:trPr>
        <w:tc>
          <w:tcPr>
            <w:tcW w:w="3406" w:type="pct"/>
            <w:shd w:val="clear" w:color="auto" w:fill="auto"/>
            <w:vAlign w:val="center"/>
          </w:tcPr>
          <w:p w14:paraId="4DFA1510"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shd w:val="clear" w:color="auto" w:fill="auto"/>
            <w:vAlign w:val="center"/>
          </w:tcPr>
          <w:p w14:paraId="0E06DA36" w14:textId="47CC0ED8" w:rsidR="00A86385" w:rsidRPr="00781112" w:rsidRDefault="002B7490" w:rsidP="00A018D4">
            <w:pPr>
              <w:jc w:val="center"/>
              <w:rPr>
                <w:rFonts w:cs="Arial"/>
                <w:szCs w:val="16"/>
              </w:rPr>
            </w:pPr>
            <w:r w:rsidRPr="00781112">
              <w:rPr>
                <w:rFonts w:cs="Arial"/>
                <w:szCs w:val="16"/>
              </w:rPr>
              <w:t>1,548</w:t>
            </w:r>
          </w:p>
        </w:tc>
        <w:tc>
          <w:tcPr>
            <w:tcW w:w="797" w:type="pct"/>
            <w:shd w:val="clear" w:color="auto" w:fill="auto"/>
            <w:vAlign w:val="center"/>
          </w:tcPr>
          <w:p w14:paraId="16C35679" w14:textId="25F05A91" w:rsidR="00A86385" w:rsidRPr="00781112" w:rsidRDefault="002B7490" w:rsidP="00A018D4">
            <w:pPr>
              <w:jc w:val="center"/>
              <w:rPr>
                <w:rFonts w:cs="Arial"/>
                <w:szCs w:val="16"/>
              </w:rPr>
            </w:pPr>
            <w:r w:rsidRPr="00781112">
              <w:rPr>
                <w:rFonts w:cs="Arial"/>
                <w:szCs w:val="16"/>
              </w:rPr>
              <w:t>50.70%</w:t>
            </w:r>
          </w:p>
        </w:tc>
      </w:tr>
      <w:tr w:rsidR="005C29F8" w:rsidRPr="00781112" w14:paraId="2EAC8E4E" w14:textId="5ED91A2D" w:rsidTr="00AB0D6A">
        <w:trPr>
          <w:trHeight w:val="361"/>
        </w:trPr>
        <w:tc>
          <w:tcPr>
            <w:tcW w:w="3406" w:type="pct"/>
            <w:shd w:val="clear" w:color="auto" w:fill="auto"/>
            <w:vAlign w:val="center"/>
          </w:tcPr>
          <w:p w14:paraId="4107A866"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shd w:val="clear" w:color="auto" w:fill="auto"/>
            <w:vAlign w:val="center"/>
          </w:tcPr>
          <w:p w14:paraId="5DD4256C" w14:textId="3B268EB2" w:rsidR="00A86385" w:rsidRPr="00781112" w:rsidRDefault="002B7490" w:rsidP="00A018D4">
            <w:pPr>
              <w:jc w:val="center"/>
              <w:rPr>
                <w:rFonts w:cs="Arial"/>
                <w:szCs w:val="16"/>
              </w:rPr>
            </w:pPr>
            <w:r w:rsidRPr="00781112">
              <w:rPr>
                <w:rFonts w:cs="Arial"/>
                <w:szCs w:val="16"/>
              </w:rPr>
              <w:t>342</w:t>
            </w:r>
          </w:p>
        </w:tc>
        <w:tc>
          <w:tcPr>
            <w:tcW w:w="797" w:type="pct"/>
            <w:shd w:val="clear" w:color="auto" w:fill="auto"/>
            <w:vAlign w:val="center"/>
          </w:tcPr>
          <w:p w14:paraId="49CE1ADC" w14:textId="7D7D7E9C" w:rsidR="00A86385" w:rsidRPr="00781112" w:rsidRDefault="002B7490" w:rsidP="00A018D4">
            <w:pPr>
              <w:jc w:val="center"/>
              <w:rPr>
                <w:rFonts w:cs="Arial"/>
                <w:szCs w:val="16"/>
              </w:rPr>
            </w:pPr>
            <w:r w:rsidRPr="00781112">
              <w:rPr>
                <w:rFonts w:cs="Arial"/>
                <w:szCs w:val="16"/>
              </w:rPr>
              <w:t>11.20%</w:t>
            </w:r>
          </w:p>
        </w:tc>
      </w:tr>
    </w:tbl>
    <w:p w14:paraId="2CDC19A8"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9"/>
        <w:gridCol w:w="1234"/>
        <w:gridCol w:w="1232"/>
        <w:gridCol w:w="1234"/>
        <w:gridCol w:w="1232"/>
        <w:gridCol w:w="1234"/>
        <w:gridCol w:w="1230"/>
      </w:tblGrid>
      <w:tr w:rsidR="00AA4F85" w:rsidRPr="00781112" w14:paraId="3D9EEDAD" w14:textId="30B2445F" w:rsidTr="00AA4F85">
        <w:trPr>
          <w:trHeight w:val="354"/>
          <w:tblHeader/>
        </w:trPr>
        <w:tc>
          <w:tcPr>
            <w:tcW w:w="1040" w:type="pct"/>
            <w:shd w:val="clear" w:color="auto" w:fill="auto"/>
            <w:vAlign w:val="bottom"/>
          </w:tcPr>
          <w:p w14:paraId="12D11B46" w14:textId="1FAAAC6F" w:rsidR="00AA4F85" w:rsidRPr="00781112" w:rsidRDefault="00AA4F85" w:rsidP="00AA4F85">
            <w:pPr>
              <w:rPr>
                <w:rFonts w:cs="Arial"/>
                <w:color w:val="000000" w:themeColor="text1"/>
                <w:szCs w:val="16"/>
              </w:rPr>
            </w:pPr>
            <w:r w:rsidRPr="00781112">
              <w:rPr>
                <w:rFonts w:cs="Arial"/>
                <w:b/>
                <w:color w:val="000000" w:themeColor="text1"/>
                <w:szCs w:val="16"/>
              </w:rPr>
              <w:t>Outcome A</w:t>
            </w:r>
          </w:p>
        </w:tc>
        <w:tc>
          <w:tcPr>
            <w:tcW w:w="532" w:type="pct"/>
            <w:shd w:val="clear" w:color="auto" w:fill="auto"/>
            <w:vAlign w:val="bottom"/>
          </w:tcPr>
          <w:p w14:paraId="7B100CB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72" w:type="pct"/>
            <w:shd w:val="clear" w:color="auto" w:fill="auto"/>
            <w:vAlign w:val="bottom"/>
          </w:tcPr>
          <w:p w14:paraId="31C4C2D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71" w:type="pct"/>
            <w:shd w:val="clear" w:color="auto" w:fill="auto"/>
            <w:vAlign w:val="bottom"/>
          </w:tcPr>
          <w:p w14:paraId="1634F3BC" w14:textId="5F91720B" w:rsidR="00AA4F85" w:rsidRPr="00CC1061" w:rsidRDefault="00AA4F85" w:rsidP="00AA4F85">
            <w:pPr>
              <w:jc w:val="center"/>
              <w:rPr>
                <w:rFonts w:cs="Arial"/>
                <w:b/>
                <w:bCs/>
                <w:color w:val="000000" w:themeColor="text1"/>
                <w:szCs w:val="16"/>
              </w:rPr>
            </w:pPr>
            <w:r w:rsidRPr="00CC1061">
              <w:rPr>
                <w:b/>
                <w:bCs/>
              </w:rPr>
              <w:t>FFY 2020 Data</w:t>
            </w:r>
          </w:p>
        </w:tc>
        <w:tc>
          <w:tcPr>
            <w:tcW w:w="572" w:type="pct"/>
            <w:shd w:val="clear" w:color="auto" w:fill="auto"/>
            <w:vAlign w:val="bottom"/>
          </w:tcPr>
          <w:p w14:paraId="41DCEE89" w14:textId="69D0F5AC" w:rsidR="00AA4F85" w:rsidRPr="00CC1061" w:rsidRDefault="00AA4F85" w:rsidP="00AA4F85">
            <w:pPr>
              <w:jc w:val="center"/>
              <w:rPr>
                <w:rFonts w:cs="Arial"/>
                <w:b/>
                <w:bCs/>
                <w:color w:val="000000" w:themeColor="text1"/>
                <w:szCs w:val="16"/>
              </w:rPr>
            </w:pPr>
            <w:r w:rsidRPr="00CC1061">
              <w:rPr>
                <w:b/>
                <w:bCs/>
              </w:rPr>
              <w:t>FFY 2021 Target</w:t>
            </w:r>
          </w:p>
        </w:tc>
        <w:tc>
          <w:tcPr>
            <w:tcW w:w="571" w:type="pct"/>
            <w:shd w:val="clear" w:color="auto" w:fill="auto"/>
            <w:vAlign w:val="bottom"/>
          </w:tcPr>
          <w:p w14:paraId="64737D68" w14:textId="106DB3FC" w:rsidR="00AA4F85" w:rsidRPr="00CC1061" w:rsidRDefault="00AA4F85" w:rsidP="00AA4F85">
            <w:pPr>
              <w:jc w:val="center"/>
              <w:rPr>
                <w:rFonts w:cs="Arial"/>
                <w:b/>
                <w:bCs/>
                <w:color w:val="000000" w:themeColor="text1"/>
                <w:szCs w:val="16"/>
              </w:rPr>
            </w:pPr>
            <w:r w:rsidRPr="00CC1061">
              <w:rPr>
                <w:b/>
                <w:bCs/>
              </w:rPr>
              <w:t>FFY 2021 Data</w:t>
            </w:r>
          </w:p>
        </w:tc>
        <w:tc>
          <w:tcPr>
            <w:tcW w:w="572" w:type="pct"/>
            <w:shd w:val="clear" w:color="auto" w:fill="auto"/>
            <w:vAlign w:val="bottom"/>
          </w:tcPr>
          <w:p w14:paraId="4592E227" w14:textId="424684DB"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571" w:type="pct"/>
            <w:shd w:val="clear" w:color="auto" w:fill="auto"/>
            <w:vAlign w:val="bottom"/>
          </w:tcPr>
          <w:p w14:paraId="41F5B2E6" w14:textId="7085A5D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18B94B2E" w14:textId="09DCF8DA" w:rsidTr="00AA4F85">
        <w:trPr>
          <w:trHeight w:val="361"/>
        </w:trPr>
        <w:tc>
          <w:tcPr>
            <w:tcW w:w="1040" w:type="pct"/>
            <w:shd w:val="clear" w:color="auto" w:fill="auto"/>
          </w:tcPr>
          <w:p w14:paraId="423BC0C1"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percent who substantially increased their rate of growth by the time they turned 6 years of age or exited the program. </w:t>
            </w:r>
            <w:r w:rsidRPr="00266107">
              <w:rPr>
                <w:rFonts w:cs="Arial"/>
                <w:i/>
                <w:iCs/>
                <w:color w:val="000000" w:themeColor="text1"/>
                <w:szCs w:val="16"/>
              </w:rPr>
              <w:t>Calculation:(c+d)/(a+b+c+d)</w:t>
            </w:r>
          </w:p>
        </w:tc>
        <w:tc>
          <w:tcPr>
            <w:tcW w:w="532" w:type="pct"/>
            <w:shd w:val="clear" w:color="auto" w:fill="auto"/>
            <w:vAlign w:val="center"/>
          </w:tcPr>
          <w:p w14:paraId="4154B7AF" w14:textId="22483590" w:rsidR="00A86385" w:rsidRPr="00781112" w:rsidRDefault="002B7490" w:rsidP="00A86385">
            <w:pPr>
              <w:jc w:val="center"/>
              <w:rPr>
                <w:rFonts w:cs="Arial"/>
                <w:color w:val="000000" w:themeColor="text1"/>
                <w:szCs w:val="16"/>
              </w:rPr>
            </w:pPr>
            <w:r w:rsidRPr="00781112">
              <w:rPr>
                <w:rFonts w:cs="Arial"/>
                <w:color w:val="000000" w:themeColor="text1"/>
                <w:szCs w:val="16"/>
              </w:rPr>
              <w:t>2,609</w:t>
            </w:r>
          </w:p>
        </w:tc>
        <w:tc>
          <w:tcPr>
            <w:tcW w:w="572" w:type="pct"/>
            <w:shd w:val="clear" w:color="auto" w:fill="auto"/>
            <w:vAlign w:val="center"/>
          </w:tcPr>
          <w:p w14:paraId="6A178831" w14:textId="564F7234" w:rsidR="00A86385" w:rsidRPr="00781112" w:rsidRDefault="002B7490" w:rsidP="00A86385">
            <w:pPr>
              <w:jc w:val="center"/>
              <w:rPr>
                <w:rFonts w:cs="Arial"/>
                <w:color w:val="000000" w:themeColor="text1"/>
                <w:szCs w:val="16"/>
              </w:rPr>
            </w:pPr>
            <w:r w:rsidRPr="00781112">
              <w:rPr>
                <w:rFonts w:cs="Arial"/>
                <w:color w:val="000000" w:themeColor="text1"/>
                <w:szCs w:val="16"/>
              </w:rPr>
              <w:t>2,711</w:t>
            </w:r>
          </w:p>
        </w:tc>
        <w:tc>
          <w:tcPr>
            <w:tcW w:w="571" w:type="pct"/>
            <w:shd w:val="clear" w:color="auto" w:fill="auto"/>
            <w:vAlign w:val="center"/>
          </w:tcPr>
          <w:p w14:paraId="5EEC0208" w14:textId="526E193A" w:rsidR="00A86385" w:rsidRPr="00781112" w:rsidRDefault="002B7490" w:rsidP="00A86385">
            <w:pPr>
              <w:jc w:val="center"/>
              <w:rPr>
                <w:rFonts w:cs="Arial"/>
                <w:color w:val="000000" w:themeColor="text1"/>
                <w:szCs w:val="16"/>
              </w:rPr>
            </w:pPr>
            <w:r w:rsidRPr="00781112">
              <w:rPr>
                <w:rFonts w:cs="Arial"/>
                <w:color w:val="000000" w:themeColor="text1"/>
                <w:szCs w:val="16"/>
              </w:rPr>
              <w:t>94.80%</w:t>
            </w:r>
          </w:p>
        </w:tc>
        <w:tc>
          <w:tcPr>
            <w:tcW w:w="572" w:type="pct"/>
            <w:shd w:val="clear" w:color="auto" w:fill="auto"/>
            <w:vAlign w:val="center"/>
          </w:tcPr>
          <w:p w14:paraId="4FDFC172" w14:textId="02E04CF5" w:rsidR="00A86385" w:rsidRPr="00781112" w:rsidRDefault="003D7F56">
            <w:pPr>
              <w:jc w:val="center"/>
              <w:rPr>
                <w:color w:val="000000" w:themeColor="text1"/>
              </w:rPr>
            </w:pPr>
            <w:r w:rsidRPr="00781112">
              <w:rPr>
                <w:color w:val="000000" w:themeColor="text1"/>
              </w:rPr>
              <w:t>93.50%</w:t>
            </w:r>
          </w:p>
        </w:tc>
        <w:tc>
          <w:tcPr>
            <w:tcW w:w="571" w:type="pct"/>
            <w:shd w:val="clear" w:color="auto" w:fill="auto"/>
            <w:vAlign w:val="center"/>
          </w:tcPr>
          <w:p w14:paraId="23D0B4EA" w14:textId="4DE98DDB" w:rsidR="00A86385" w:rsidRPr="00781112" w:rsidRDefault="002B7490" w:rsidP="00A86385">
            <w:pPr>
              <w:jc w:val="center"/>
              <w:rPr>
                <w:rFonts w:cs="Arial"/>
                <w:color w:val="000000" w:themeColor="text1"/>
                <w:szCs w:val="16"/>
              </w:rPr>
            </w:pPr>
            <w:r w:rsidRPr="00781112">
              <w:rPr>
                <w:rFonts w:cs="Arial"/>
                <w:color w:val="000000" w:themeColor="text1"/>
                <w:szCs w:val="16"/>
              </w:rPr>
              <w:t>96.24%</w:t>
            </w:r>
          </w:p>
        </w:tc>
        <w:tc>
          <w:tcPr>
            <w:tcW w:w="572" w:type="pct"/>
            <w:shd w:val="clear" w:color="auto" w:fill="auto"/>
            <w:vAlign w:val="center"/>
          </w:tcPr>
          <w:p w14:paraId="64F5CB78" w14:textId="13F3F70F" w:rsidR="00A86385" w:rsidRPr="00781112" w:rsidRDefault="002B7490" w:rsidP="00A86385">
            <w:pPr>
              <w:jc w:val="center"/>
              <w:rPr>
                <w:rFonts w:cs="Arial"/>
                <w:color w:val="000000" w:themeColor="text1"/>
                <w:szCs w:val="16"/>
              </w:rPr>
            </w:pPr>
            <w:r w:rsidRPr="00781112">
              <w:rPr>
                <w:rFonts w:cs="Arial"/>
                <w:color w:val="000000" w:themeColor="text1"/>
                <w:szCs w:val="16"/>
              </w:rPr>
              <w:t>Met target</w:t>
            </w:r>
          </w:p>
        </w:tc>
        <w:tc>
          <w:tcPr>
            <w:tcW w:w="571" w:type="pct"/>
            <w:shd w:val="clear" w:color="auto" w:fill="auto"/>
            <w:vAlign w:val="center"/>
          </w:tcPr>
          <w:p w14:paraId="7D4367C2" w14:textId="1159AE87"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r w:rsidR="005C29F8" w:rsidRPr="00781112" w14:paraId="79C043DE" w14:textId="1DF06FE5" w:rsidTr="00AA4F85">
        <w:trPr>
          <w:trHeight w:val="361"/>
        </w:trPr>
        <w:tc>
          <w:tcPr>
            <w:tcW w:w="1040" w:type="pct"/>
            <w:shd w:val="clear" w:color="auto" w:fill="auto"/>
          </w:tcPr>
          <w:p w14:paraId="319F62FD"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(d+e)/(a+b+c+d+e)</w:t>
            </w:r>
          </w:p>
        </w:tc>
        <w:tc>
          <w:tcPr>
            <w:tcW w:w="532" w:type="pct"/>
            <w:shd w:val="clear" w:color="auto" w:fill="auto"/>
            <w:vAlign w:val="center"/>
          </w:tcPr>
          <w:p w14:paraId="1EA4F3E8" w14:textId="01AC6416" w:rsidR="00A86385" w:rsidRPr="00781112" w:rsidRDefault="002B7490" w:rsidP="00A86385">
            <w:pPr>
              <w:jc w:val="center"/>
              <w:rPr>
                <w:rFonts w:cs="Arial"/>
                <w:color w:val="000000" w:themeColor="text1"/>
                <w:szCs w:val="16"/>
              </w:rPr>
            </w:pPr>
            <w:r w:rsidRPr="00781112">
              <w:rPr>
                <w:rFonts w:cs="Arial"/>
                <w:color w:val="000000" w:themeColor="text1"/>
                <w:szCs w:val="16"/>
              </w:rPr>
              <w:t>1,890</w:t>
            </w:r>
          </w:p>
        </w:tc>
        <w:tc>
          <w:tcPr>
            <w:tcW w:w="572" w:type="pct"/>
            <w:shd w:val="clear" w:color="auto" w:fill="auto"/>
            <w:vAlign w:val="center"/>
          </w:tcPr>
          <w:p w14:paraId="392DC3C7" w14:textId="706433AB" w:rsidR="00A86385" w:rsidRPr="00781112" w:rsidRDefault="002B7490" w:rsidP="00A86385">
            <w:pPr>
              <w:jc w:val="center"/>
              <w:rPr>
                <w:rFonts w:cs="Arial"/>
                <w:color w:val="000000" w:themeColor="text1"/>
                <w:szCs w:val="16"/>
              </w:rPr>
            </w:pPr>
            <w:r w:rsidRPr="00781112">
              <w:rPr>
                <w:rFonts w:cs="Arial"/>
                <w:color w:val="000000" w:themeColor="text1"/>
                <w:szCs w:val="16"/>
              </w:rPr>
              <w:t>3,053</w:t>
            </w:r>
          </w:p>
        </w:tc>
        <w:tc>
          <w:tcPr>
            <w:tcW w:w="571" w:type="pct"/>
            <w:shd w:val="clear" w:color="auto" w:fill="auto"/>
            <w:vAlign w:val="center"/>
          </w:tcPr>
          <w:p w14:paraId="480CDC79" w14:textId="4F1F0DEC" w:rsidR="00A86385" w:rsidRPr="00781112" w:rsidRDefault="002B7490" w:rsidP="00A86385">
            <w:pPr>
              <w:jc w:val="center"/>
              <w:rPr>
                <w:rFonts w:cs="Arial"/>
                <w:color w:val="000000" w:themeColor="text1"/>
                <w:szCs w:val="16"/>
              </w:rPr>
            </w:pPr>
            <w:r w:rsidRPr="00781112">
              <w:rPr>
                <w:rFonts w:cs="Arial"/>
                <w:color w:val="000000" w:themeColor="text1"/>
                <w:szCs w:val="16"/>
              </w:rPr>
              <w:t>60.96%</w:t>
            </w:r>
          </w:p>
        </w:tc>
        <w:tc>
          <w:tcPr>
            <w:tcW w:w="572" w:type="pct"/>
            <w:shd w:val="clear" w:color="auto" w:fill="auto"/>
            <w:vAlign w:val="center"/>
          </w:tcPr>
          <w:p w14:paraId="4E37244D" w14:textId="286AF534" w:rsidR="00A86385" w:rsidRPr="00781112" w:rsidRDefault="003D7F56">
            <w:pPr>
              <w:jc w:val="center"/>
              <w:rPr>
                <w:color w:val="000000" w:themeColor="text1"/>
              </w:rPr>
            </w:pPr>
            <w:r w:rsidRPr="00781112">
              <w:rPr>
                <w:color w:val="000000" w:themeColor="text1"/>
              </w:rPr>
              <w:t>60.50%</w:t>
            </w:r>
          </w:p>
        </w:tc>
        <w:tc>
          <w:tcPr>
            <w:tcW w:w="571" w:type="pct"/>
            <w:shd w:val="clear" w:color="auto" w:fill="auto"/>
            <w:vAlign w:val="center"/>
          </w:tcPr>
          <w:p w14:paraId="2BBC817C" w14:textId="65BC2730" w:rsidR="00A86385" w:rsidRPr="00781112" w:rsidRDefault="002B7490" w:rsidP="00A86385">
            <w:pPr>
              <w:jc w:val="center"/>
              <w:rPr>
                <w:rFonts w:cs="Arial"/>
                <w:color w:val="000000" w:themeColor="text1"/>
                <w:szCs w:val="16"/>
              </w:rPr>
            </w:pPr>
            <w:r w:rsidRPr="00781112">
              <w:rPr>
                <w:rFonts w:cs="Arial"/>
                <w:color w:val="000000" w:themeColor="text1"/>
                <w:szCs w:val="16"/>
              </w:rPr>
              <w:t>61.91%</w:t>
            </w:r>
          </w:p>
        </w:tc>
        <w:tc>
          <w:tcPr>
            <w:tcW w:w="572" w:type="pct"/>
            <w:shd w:val="clear" w:color="auto" w:fill="auto"/>
            <w:vAlign w:val="center"/>
          </w:tcPr>
          <w:p w14:paraId="3AC16CE0" w14:textId="7E3856A4" w:rsidR="00A86385" w:rsidRPr="00781112" w:rsidRDefault="002B7490" w:rsidP="00A86385">
            <w:pPr>
              <w:jc w:val="center"/>
              <w:rPr>
                <w:rFonts w:cs="Arial"/>
                <w:color w:val="000000" w:themeColor="text1"/>
                <w:szCs w:val="16"/>
              </w:rPr>
            </w:pPr>
            <w:r w:rsidRPr="00781112">
              <w:rPr>
                <w:rFonts w:cs="Arial"/>
                <w:color w:val="000000" w:themeColor="text1"/>
                <w:szCs w:val="16"/>
              </w:rPr>
              <w:t>Met target</w:t>
            </w:r>
          </w:p>
        </w:tc>
        <w:tc>
          <w:tcPr>
            <w:tcW w:w="571" w:type="pct"/>
            <w:shd w:val="clear" w:color="auto" w:fill="auto"/>
            <w:vAlign w:val="center"/>
          </w:tcPr>
          <w:p w14:paraId="2C0165C1" w14:textId="5260DB98"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bl>
    <w:p w14:paraId="43C6FD6E"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227"/>
        <w:gridCol w:w="1783"/>
        <w:gridCol w:w="1780"/>
      </w:tblGrid>
      <w:tr w:rsidR="005C29F8" w:rsidRPr="00781112" w14:paraId="637A7029" w14:textId="2CDA80A7" w:rsidTr="0033429D">
        <w:trPr>
          <w:trHeight w:val="361"/>
          <w:tblHeader/>
        </w:trPr>
        <w:tc>
          <w:tcPr>
            <w:tcW w:w="3349" w:type="pct"/>
            <w:shd w:val="clear" w:color="auto" w:fill="auto"/>
            <w:vAlign w:val="bottom"/>
          </w:tcPr>
          <w:p w14:paraId="43F5435F" w14:textId="01DC1145"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shd w:val="clear" w:color="auto" w:fill="auto"/>
            <w:vAlign w:val="bottom"/>
          </w:tcPr>
          <w:p w14:paraId="33266842"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5864E39" w14:textId="3FAA808D"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E399615" w14:textId="1C73CC75" w:rsidTr="00AB0D6A">
        <w:trPr>
          <w:trHeight w:val="361"/>
        </w:trPr>
        <w:tc>
          <w:tcPr>
            <w:tcW w:w="3349" w:type="pct"/>
            <w:shd w:val="clear" w:color="auto" w:fill="auto"/>
          </w:tcPr>
          <w:p w14:paraId="6B2DB9F8"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54446092" w14:textId="4023E756" w:rsidR="00A86385"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825" w:type="pct"/>
            <w:shd w:val="clear" w:color="auto" w:fill="auto"/>
            <w:vAlign w:val="center"/>
          </w:tcPr>
          <w:p w14:paraId="21775FA0" w14:textId="7E6665F3" w:rsidR="00A86385" w:rsidRPr="00781112" w:rsidRDefault="002B7490" w:rsidP="00A018D4">
            <w:pPr>
              <w:jc w:val="center"/>
              <w:rPr>
                <w:rFonts w:cs="Arial"/>
                <w:color w:val="000000" w:themeColor="text1"/>
                <w:szCs w:val="16"/>
              </w:rPr>
            </w:pPr>
            <w:r w:rsidRPr="00781112">
              <w:rPr>
                <w:rFonts w:cs="Arial"/>
                <w:color w:val="000000" w:themeColor="text1"/>
                <w:szCs w:val="16"/>
              </w:rPr>
              <w:t>0.10%</w:t>
            </w:r>
          </w:p>
        </w:tc>
      </w:tr>
      <w:tr w:rsidR="005C29F8" w:rsidRPr="00781112" w14:paraId="0EABFD05" w14:textId="7B9C3CA9" w:rsidTr="00AB0D6A">
        <w:trPr>
          <w:trHeight w:val="361"/>
        </w:trPr>
        <w:tc>
          <w:tcPr>
            <w:tcW w:w="3349" w:type="pct"/>
            <w:shd w:val="clear" w:color="auto" w:fill="auto"/>
          </w:tcPr>
          <w:p w14:paraId="623F83AF"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39ABCB88" w14:textId="036353D5" w:rsidR="00A86385" w:rsidRPr="00781112" w:rsidRDefault="002B7490" w:rsidP="00A018D4">
            <w:pPr>
              <w:jc w:val="center"/>
              <w:rPr>
                <w:rFonts w:cs="Arial"/>
                <w:color w:val="000000" w:themeColor="text1"/>
                <w:szCs w:val="16"/>
              </w:rPr>
            </w:pPr>
            <w:r w:rsidRPr="00781112">
              <w:rPr>
                <w:rFonts w:cs="Arial"/>
                <w:color w:val="000000" w:themeColor="text1"/>
                <w:szCs w:val="16"/>
              </w:rPr>
              <w:t>113</w:t>
            </w:r>
          </w:p>
        </w:tc>
        <w:tc>
          <w:tcPr>
            <w:tcW w:w="825" w:type="pct"/>
            <w:shd w:val="clear" w:color="auto" w:fill="auto"/>
            <w:vAlign w:val="center"/>
          </w:tcPr>
          <w:p w14:paraId="33D020CC" w14:textId="0314A001" w:rsidR="00A86385" w:rsidRPr="00781112" w:rsidRDefault="002B7490" w:rsidP="00A018D4">
            <w:pPr>
              <w:jc w:val="center"/>
              <w:rPr>
                <w:rFonts w:cs="Arial"/>
                <w:color w:val="000000" w:themeColor="text1"/>
                <w:szCs w:val="16"/>
              </w:rPr>
            </w:pPr>
            <w:r w:rsidRPr="00781112">
              <w:rPr>
                <w:rFonts w:cs="Arial"/>
                <w:color w:val="000000" w:themeColor="text1"/>
                <w:szCs w:val="16"/>
              </w:rPr>
              <w:t>3.70%</w:t>
            </w:r>
          </w:p>
        </w:tc>
      </w:tr>
      <w:tr w:rsidR="005C29F8" w:rsidRPr="00781112" w14:paraId="2AFEEE7C" w14:textId="52870042" w:rsidTr="00AB0D6A">
        <w:trPr>
          <w:trHeight w:val="361"/>
        </w:trPr>
        <w:tc>
          <w:tcPr>
            <w:tcW w:w="3349" w:type="pct"/>
            <w:shd w:val="clear" w:color="auto" w:fill="auto"/>
          </w:tcPr>
          <w:p w14:paraId="77166FC5"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32CAD94B" w14:textId="37477BEB" w:rsidR="00A86385" w:rsidRPr="00781112" w:rsidRDefault="002B7490" w:rsidP="00A018D4">
            <w:pPr>
              <w:jc w:val="center"/>
              <w:rPr>
                <w:rFonts w:cs="Arial"/>
                <w:color w:val="000000" w:themeColor="text1"/>
                <w:szCs w:val="16"/>
              </w:rPr>
            </w:pPr>
            <w:r w:rsidRPr="00781112">
              <w:rPr>
                <w:rFonts w:cs="Arial"/>
                <w:color w:val="000000" w:themeColor="text1"/>
                <w:szCs w:val="16"/>
              </w:rPr>
              <w:t>1,092</w:t>
            </w:r>
          </w:p>
        </w:tc>
        <w:tc>
          <w:tcPr>
            <w:tcW w:w="825" w:type="pct"/>
            <w:shd w:val="clear" w:color="auto" w:fill="auto"/>
            <w:vAlign w:val="center"/>
          </w:tcPr>
          <w:p w14:paraId="2021CF20" w14:textId="181B68B8" w:rsidR="00A86385" w:rsidRPr="00781112" w:rsidRDefault="002B7490" w:rsidP="00A018D4">
            <w:pPr>
              <w:jc w:val="center"/>
              <w:rPr>
                <w:rFonts w:cs="Arial"/>
                <w:color w:val="000000" w:themeColor="text1"/>
                <w:szCs w:val="16"/>
              </w:rPr>
            </w:pPr>
            <w:r w:rsidRPr="00781112">
              <w:rPr>
                <w:rFonts w:cs="Arial"/>
                <w:color w:val="000000" w:themeColor="text1"/>
                <w:szCs w:val="16"/>
              </w:rPr>
              <w:t>35.77%</w:t>
            </w:r>
          </w:p>
        </w:tc>
      </w:tr>
      <w:tr w:rsidR="005C29F8" w:rsidRPr="00781112" w14:paraId="5D450E84" w14:textId="4C13CEB9" w:rsidTr="00AB0D6A">
        <w:trPr>
          <w:trHeight w:val="361"/>
        </w:trPr>
        <w:tc>
          <w:tcPr>
            <w:tcW w:w="3349" w:type="pct"/>
            <w:shd w:val="clear" w:color="auto" w:fill="auto"/>
          </w:tcPr>
          <w:p w14:paraId="110FD587"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277F64A6" w14:textId="32E985A0" w:rsidR="00A86385" w:rsidRPr="00781112" w:rsidRDefault="002B7490" w:rsidP="00A018D4">
            <w:pPr>
              <w:jc w:val="center"/>
              <w:rPr>
                <w:rFonts w:cs="Arial"/>
                <w:color w:val="000000" w:themeColor="text1"/>
                <w:szCs w:val="16"/>
              </w:rPr>
            </w:pPr>
            <w:r w:rsidRPr="00781112">
              <w:rPr>
                <w:rFonts w:cs="Arial"/>
                <w:color w:val="000000" w:themeColor="text1"/>
                <w:szCs w:val="16"/>
              </w:rPr>
              <w:t>1,518</w:t>
            </w:r>
          </w:p>
        </w:tc>
        <w:tc>
          <w:tcPr>
            <w:tcW w:w="825" w:type="pct"/>
            <w:shd w:val="clear" w:color="auto" w:fill="auto"/>
            <w:vAlign w:val="center"/>
          </w:tcPr>
          <w:p w14:paraId="2EEE6FB7" w14:textId="6E8D11C4" w:rsidR="00A86385" w:rsidRPr="00781112" w:rsidRDefault="002B7490" w:rsidP="00A018D4">
            <w:pPr>
              <w:jc w:val="center"/>
              <w:rPr>
                <w:rFonts w:cs="Arial"/>
                <w:color w:val="000000" w:themeColor="text1"/>
                <w:szCs w:val="16"/>
              </w:rPr>
            </w:pPr>
            <w:r w:rsidRPr="00781112">
              <w:rPr>
                <w:rFonts w:cs="Arial"/>
                <w:color w:val="000000" w:themeColor="text1"/>
                <w:szCs w:val="16"/>
              </w:rPr>
              <w:t>49.72%</w:t>
            </w:r>
          </w:p>
        </w:tc>
      </w:tr>
      <w:tr w:rsidR="005C29F8" w:rsidRPr="00781112" w14:paraId="108FFB57" w14:textId="0C409786" w:rsidTr="00AB0D6A">
        <w:trPr>
          <w:trHeight w:val="361"/>
        </w:trPr>
        <w:tc>
          <w:tcPr>
            <w:tcW w:w="3349" w:type="pct"/>
            <w:shd w:val="clear" w:color="auto" w:fill="auto"/>
          </w:tcPr>
          <w:p w14:paraId="3D4AD278"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A790A60" w14:textId="08E1839F" w:rsidR="00A86385" w:rsidRPr="00781112" w:rsidRDefault="002B7490" w:rsidP="00A018D4">
            <w:pPr>
              <w:jc w:val="center"/>
              <w:rPr>
                <w:rFonts w:cs="Arial"/>
                <w:color w:val="000000" w:themeColor="text1"/>
                <w:szCs w:val="16"/>
              </w:rPr>
            </w:pPr>
            <w:r w:rsidRPr="00781112">
              <w:rPr>
                <w:rFonts w:cs="Arial"/>
                <w:color w:val="000000" w:themeColor="text1"/>
                <w:szCs w:val="16"/>
              </w:rPr>
              <w:t>327</w:t>
            </w:r>
          </w:p>
        </w:tc>
        <w:tc>
          <w:tcPr>
            <w:tcW w:w="825" w:type="pct"/>
            <w:shd w:val="clear" w:color="auto" w:fill="auto"/>
            <w:vAlign w:val="center"/>
          </w:tcPr>
          <w:p w14:paraId="2501B391" w14:textId="1634A6F5" w:rsidR="00A86385" w:rsidRPr="00781112" w:rsidRDefault="002B7490" w:rsidP="00A018D4">
            <w:pPr>
              <w:jc w:val="center"/>
              <w:rPr>
                <w:rFonts w:cs="Arial"/>
                <w:color w:val="000000" w:themeColor="text1"/>
                <w:szCs w:val="16"/>
              </w:rPr>
            </w:pPr>
            <w:r w:rsidRPr="00781112">
              <w:rPr>
                <w:rFonts w:cs="Arial"/>
                <w:color w:val="000000" w:themeColor="text1"/>
                <w:szCs w:val="16"/>
              </w:rPr>
              <w:t>10.71%</w:t>
            </w:r>
          </w:p>
        </w:tc>
      </w:tr>
    </w:tbl>
    <w:p w14:paraId="7EA9F2D2"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AA4F85" w:rsidRPr="00781112" w14:paraId="29447607" w14:textId="4B3B706C" w:rsidTr="00AA4F85">
        <w:trPr>
          <w:tblHeader/>
        </w:trPr>
        <w:tc>
          <w:tcPr>
            <w:tcW w:w="1000" w:type="pct"/>
            <w:shd w:val="clear" w:color="auto" w:fill="auto"/>
            <w:vAlign w:val="bottom"/>
          </w:tcPr>
          <w:p w14:paraId="58D567A9" w14:textId="7BD30860" w:rsidR="00AA4F85" w:rsidRPr="00781112" w:rsidRDefault="00AA4F85" w:rsidP="00AA4F85">
            <w:pPr>
              <w:rPr>
                <w:b/>
                <w:color w:val="000000" w:themeColor="text1"/>
              </w:rPr>
            </w:pPr>
            <w:r w:rsidRPr="00781112">
              <w:rPr>
                <w:b/>
                <w:color w:val="000000" w:themeColor="text1"/>
              </w:rPr>
              <w:t>Outcome B</w:t>
            </w:r>
          </w:p>
        </w:tc>
        <w:tc>
          <w:tcPr>
            <w:tcW w:w="585" w:type="pct"/>
            <w:shd w:val="clear" w:color="auto" w:fill="auto"/>
            <w:vAlign w:val="bottom"/>
          </w:tcPr>
          <w:p w14:paraId="0DF6A486" w14:textId="77777777" w:rsidR="00AA4F85" w:rsidRPr="00781112" w:rsidRDefault="00AA4F85" w:rsidP="00AA4F85">
            <w:pPr>
              <w:rPr>
                <w:b/>
                <w:color w:val="000000" w:themeColor="text1"/>
              </w:rPr>
            </w:pPr>
            <w:r w:rsidRPr="00781112">
              <w:rPr>
                <w:b/>
                <w:color w:val="000000" w:themeColor="text1"/>
              </w:rPr>
              <w:t>Numerator</w:t>
            </w:r>
          </w:p>
        </w:tc>
        <w:tc>
          <w:tcPr>
            <w:tcW w:w="585" w:type="pct"/>
            <w:shd w:val="clear" w:color="auto" w:fill="auto"/>
            <w:vAlign w:val="bottom"/>
          </w:tcPr>
          <w:p w14:paraId="4A127242" w14:textId="77777777" w:rsidR="00AA4F85" w:rsidRPr="00781112" w:rsidRDefault="00AA4F85" w:rsidP="00AA4F85">
            <w:pPr>
              <w:rPr>
                <w:b/>
                <w:color w:val="000000" w:themeColor="text1"/>
              </w:rPr>
            </w:pPr>
            <w:r w:rsidRPr="00781112">
              <w:rPr>
                <w:b/>
                <w:color w:val="000000" w:themeColor="text1"/>
              </w:rPr>
              <w:t>Denominator</w:t>
            </w:r>
          </w:p>
        </w:tc>
        <w:tc>
          <w:tcPr>
            <w:tcW w:w="543" w:type="pct"/>
            <w:shd w:val="clear" w:color="auto" w:fill="auto"/>
            <w:vAlign w:val="bottom"/>
          </w:tcPr>
          <w:p w14:paraId="03649132" w14:textId="5B9E7E9F" w:rsidR="00AA4F85" w:rsidRPr="00CC1061" w:rsidRDefault="00AA4F85" w:rsidP="00CC1061">
            <w:pPr>
              <w:jc w:val="center"/>
              <w:rPr>
                <w:b/>
                <w:bCs/>
                <w:color w:val="000000" w:themeColor="text1"/>
              </w:rPr>
            </w:pPr>
            <w:r w:rsidRPr="00CC1061">
              <w:rPr>
                <w:b/>
                <w:bCs/>
              </w:rPr>
              <w:t>FFY 2020 Data</w:t>
            </w:r>
          </w:p>
        </w:tc>
        <w:tc>
          <w:tcPr>
            <w:tcW w:w="584" w:type="pct"/>
            <w:shd w:val="clear" w:color="auto" w:fill="auto"/>
            <w:vAlign w:val="bottom"/>
          </w:tcPr>
          <w:p w14:paraId="3AFAEBC5" w14:textId="5EFD3CB5" w:rsidR="00AA4F85" w:rsidRPr="00CC1061" w:rsidRDefault="00AA4F85" w:rsidP="00CC1061">
            <w:pPr>
              <w:jc w:val="center"/>
              <w:rPr>
                <w:b/>
                <w:bCs/>
                <w:color w:val="000000" w:themeColor="text1"/>
              </w:rPr>
            </w:pPr>
            <w:r w:rsidRPr="00CC1061">
              <w:rPr>
                <w:b/>
                <w:bCs/>
              </w:rPr>
              <w:t>FFY 2021 Target</w:t>
            </w:r>
          </w:p>
        </w:tc>
        <w:tc>
          <w:tcPr>
            <w:tcW w:w="584" w:type="pct"/>
            <w:shd w:val="clear" w:color="auto" w:fill="auto"/>
            <w:vAlign w:val="bottom"/>
          </w:tcPr>
          <w:p w14:paraId="40B6360D" w14:textId="340EE357" w:rsidR="00AA4F85" w:rsidRPr="00CC1061" w:rsidRDefault="00AA4F85" w:rsidP="00CC1061">
            <w:pPr>
              <w:jc w:val="center"/>
              <w:rPr>
                <w:b/>
                <w:bCs/>
                <w:color w:val="000000" w:themeColor="text1"/>
              </w:rPr>
            </w:pPr>
            <w:r w:rsidRPr="00CC1061">
              <w:rPr>
                <w:b/>
                <w:bCs/>
              </w:rPr>
              <w:t>FFY 2021 Data</w:t>
            </w:r>
          </w:p>
        </w:tc>
        <w:tc>
          <w:tcPr>
            <w:tcW w:w="486" w:type="pct"/>
            <w:shd w:val="clear" w:color="auto" w:fill="auto"/>
            <w:vAlign w:val="bottom"/>
          </w:tcPr>
          <w:p w14:paraId="17C85F8A" w14:textId="625B06E9" w:rsidR="00AA4F85" w:rsidRPr="00781112" w:rsidRDefault="00AA4F85" w:rsidP="00AA4F85">
            <w:pPr>
              <w:rPr>
                <w:b/>
                <w:color w:val="000000" w:themeColor="text1"/>
              </w:rPr>
            </w:pPr>
            <w:r w:rsidRPr="00781112">
              <w:rPr>
                <w:b/>
                <w:color w:val="000000" w:themeColor="text1"/>
              </w:rPr>
              <w:t>Status</w:t>
            </w:r>
          </w:p>
        </w:tc>
        <w:tc>
          <w:tcPr>
            <w:tcW w:w="633" w:type="pct"/>
            <w:shd w:val="clear" w:color="auto" w:fill="auto"/>
            <w:vAlign w:val="bottom"/>
          </w:tcPr>
          <w:p w14:paraId="4254BB19" w14:textId="15C403FF" w:rsidR="00AA4F85" w:rsidRPr="00781112" w:rsidRDefault="00AA4F85" w:rsidP="00AA4F85">
            <w:pPr>
              <w:rPr>
                <w:b/>
                <w:color w:val="000000" w:themeColor="text1"/>
              </w:rPr>
            </w:pPr>
            <w:r w:rsidRPr="00781112">
              <w:rPr>
                <w:b/>
                <w:color w:val="000000" w:themeColor="text1"/>
              </w:rPr>
              <w:t>Slippage</w:t>
            </w:r>
          </w:p>
        </w:tc>
      </w:tr>
      <w:tr w:rsidR="005C29F8" w:rsidRPr="00781112" w14:paraId="6493B1D4" w14:textId="479A7C15" w:rsidTr="00AA4F85">
        <w:tc>
          <w:tcPr>
            <w:tcW w:w="1000" w:type="pct"/>
            <w:shd w:val="clear" w:color="auto" w:fill="auto"/>
          </w:tcPr>
          <w:p w14:paraId="095FBDAA"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substantially increased their rate of growth by the time they turned 6 years of age or exited the program. </w:t>
            </w:r>
            <w:r w:rsidRPr="00266107">
              <w:rPr>
                <w:rFonts w:cs="Arial"/>
                <w:i/>
                <w:iCs/>
                <w:color w:val="000000" w:themeColor="text1"/>
                <w:szCs w:val="16"/>
              </w:rPr>
              <w:t>Calculation: (c+d)/(a+b+c+d)</w:t>
            </w:r>
          </w:p>
        </w:tc>
        <w:tc>
          <w:tcPr>
            <w:tcW w:w="585" w:type="pct"/>
            <w:shd w:val="clear" w:color="auto" w:fill="auto"/>
            <w:vAlign w:val="center"/>
          </w:tcPr>
          <w:p w14:paraId="250FBF70" w14:textId="269E9F95" w:rsidR="00A86385" w:rsidRPr="00781112" w:rsidRDefault="002B7490" w:rsidP="00A018D4">
            <w:pPr>
              <w:jc w:val="center"/>
              <w:rPr>
                <w:rFonts w:cs="Arial"/>
                <w:color w:val="000000" w:themeColor="text1"/>
                <w:szCs w:val="16"/>
              </w:rPr>
            </w:pPr>
            <w:r w:rsidRPr="00781112">
              <w:rPr>
                <w:rFonts w:cs="Arial"/>
                <w:color w:val="000000" w:themeColor="text1"/>
                <w:szCs w:val="16"/>
              </w:rPr>
              <w:t>2,610</w:t>
            </w:r>
          </w:p>
        </w:tc>
        <w:tc>
          <w:tcPr>
            <w:tcW w:w="585" w:type="pct"/>
            <w:shd w:val="clear" w:color="auto" w:fill="auto"/>
            <w:vAlign w:val="center"/>
          </w:tcPr>
          <w:p w14:paraId="682FF5CA" w14:textId="4D1E8D34" w:rsidR="00A86385" w:rsidRPr="00781112" w:rsidRDefault="002B7490" w:rsidP="00A018D4">
            <w:pPr>
              <w:jc w:val="center"/>
              <w:rPr>
                <w:rFonts w:cs="Arial"/>
                <w:color w:val="000000" w:themeColor="text1"/>
                <w:szCs w:val="16"/>
              </w:rPr>
            </w:pPr>
            <w:r w:rsidRPr="00781112">
              <w:rPr>
                <w:rFonts w:cs="Arial"/>
                <w:color w:val="000000" w:themeColor="text1"/>
                <w:szCs w:val="16"/>
              </w:rPr>
              <w:t>2,726</w:t>
            </w:r>
          </w:p>
        </w:tc>
        <w:tc>
          <w:tcPr>
            <w:tcW w:w="543" w:type="pct"/>
            <w:shd w:val="clear" w:color="auto" w:fill="auto"/>
            <w:vAlign w:val="center"/>
          </w:tcPr>
          <w:p w14:paraId="07D855DC" w14:textId="52076A3B" w:rsidR="00A86385" w:rsidRPr="00781112" w:rsidRDefault="002B7490" w:rsidP="00A018D4">
            <w:pPr>
              <w:jc w:val="center"/>
              <w:rPr>
                <w:rFonts w:cs="Arial"/>
                <w:color w:val="000000" w:themeColor="text1"/>
                <w:szCs w:val="16"/>
              </w:rPr>
            </w:pPr>
            <w:r w:rsidRPr="00781112">
              <w:rPr>
                <w:rFonts w:cs="Arial"/>
                <w:color w:val="000000" w:themeColor="text1"/>
                <w:szCs w:val="16"/>
              </w:rPr>
              <w:t>94.30%</w:t>
            </w:r>
          </w:p>
        </w:tc>
        <w:tc>
          <w:tcPr>
            <w:tcW w:w="584" w:type="pct"/>
            <w:shd w:val="clear" w:color="auto" w:fill="auto"/>
            <w:vAlign w:val="center"/>
          </w:tcPr>
          <w:p w14:paraId="2830610A" w14:textId="6D7B3DE8" w:rsidR="00A86385" w:rsidRPr="00781112" w:rsidRDefault="002B7490" w:rsidP="00A018D4">
            <w:pPr>
              <w:jc w:val="center"/>
              <w:rPr>
                <w:rFonts w:cs="Arial"/>
                <w:color w:val="000000" w:themeColor="text1"/>
                <w:szCs w:val="16"/>
              </w:rPr>
            </w:pPr>
            <w:r w:rsidRPr="00781112">
              <w:rPr>
                <w:rFonts w:cs="Arial"/>
                <w:color w:val="000000" w:themeColor="text1"/>
                <w:szCs w:val="16"/>
              </w:rPr>
              <w:t>93.50%</w:t>
            </w:r>
          </w:p>
        </w:tc>
        <w:tc>
          <w:tcPr>
            <w:tcW w:w="584" w:type="pct"/>
            <w:shd w:val="clear" w:color="auto" w:fill="auto"/>
            <w:vAlign w:val="center"/>
          </w:tcPr>
          <w:p w14:paraId="12F538E0" w14:textId="1332D172" w:rsidR="00A86385" w:rsidRPr="00781112" w:rsidRDefault="002B7490" w:rsidP="00A018D4">
            <w:pPr>
              <w:jc w:val="center"/>
              <w:rPr>
                <w:rFonts w:cs="Arial"/>
                <w:color w:val="000000" w:themeColor="text1"/>
                <w:szCs w:val="16"/>
              </w:rPr>
            </w:pPr>
            <w:r w:rsidRPr="00781112">
              <w:rPr>
                <w:rFonts w:cs="Arial"/>
                <w:color w:val="000000" w:themeColor="text1"/>
                <w:szCs w:val="16"/>
              </w:rPr>
              <w:t>95.74%</w:t>
            </w:r>
          </w:p>
        </w:tc>
        <w:tc>
          <w:tcPr>
            <w:tcW w:w="486" w:type="pct"/>
            <w:shd w:val="clear" w:color="auto" w:fill="auto"/>
            <w:vAlign w:val="center"/>
          </w:tcPr>
          <w:p w14:paraId="68592CBC" w14:textId="66F66CA8"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33" w:type="pct"/>
            <w:shd w:val="clear" w:color="auto" w:fill="auto"/>
            <w:vAlign w:val="center"/>
          </w:tcPr>
          <w:p w14:paraId="0C970ED8" w14:textId="7AA3F255"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1A2A4C8" w14:textId="1A212673" w:rsidTr="00AA4F85">
        <w:tc>
          <w:tcPr>
            <w:tcW w:w="1000" w:type="pct"/>
            <w:shd w:val="clear" w:color="auto" w:fill="auto"/>
          </w:tcPr>
          <w:p w14:paraId="2DEF6925"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B2. The percent of preschool children who were functioning within age expectations in Outcome B by the time they turned 6 years of age or exited the program. </w:t>
            </w:r>
            <w:r w:rsidRPr="00266107">
              <w:rPr>
                <w:rFonts w:cs="Arial"/>
                <w:i/>
                <w:iCs/>
                <w:color w:val="000000" w:themeColor="text1"/>
                <w:szCs w:val="16"/>
              </w:rPr>
              <w:t>Calculation: (d+e)/(a+b+c+d+e)</w:t>
            </w:r>
          </w:p>
        </w:tc>
        <w:tc>
          <w:tcPr>
            <w:tcW w:w="585" w:type="pct"/>
            <w:shd w:val="clear" w:color="auto" w:fill="auto"/>
            <w:vAlign w:val="center"/>
          </w:tcPr>
          <w:p w14:paraId="3ABF54A2" w14:textId="3376A45C" w:rsidR="00A86385" w:rsidRPr="00781112" w:rsidRDefault="002B7490" w:rsidP="00A018D4">
            <w:pPr>
              <w:jc w:val="center"/>
              <w:rPr>
                <w:rFonts w:cs="Arial"/>
                <w:color w:val="000000" w:themeColor="text1"/>
                <w:szCs w:val="16"/>
              </w:rPr>
            </w:pPr>
            <w:r w:rsidRPr="00781112">
              <w:rPr>
                <w:rFonts w:cs="Arial"/>
                <w:color w:val="000000" w:themeColor="text1"/>
                <w:szCs w:val="16"/>
              </w:rPr>
              <w:t>1,845</w:t>
            </w:r>
          </w:p>
        </w:tc>
        <w:tc>
          <w:tcPr>
            <w:tcW w:w="585" w:type="pct"/>
            <w:shd w:val="clear" w:color="auto" w:fill="auto"/>
            <w:vAlign w:val="center"/>
          </w:tcPr>
          <w:p w14:paraId="591EA1FE" w14:textId="556EFD96" w:rsidR="00A86385" w:rsidRPr="00781112" w:rsidRDefault="002B7490" w:rsidP="00A018D4">
            <w:pPr>
              <w:jc w:val="center"/>
              <w:rPr>
                <w:rFonts w:cs="Arial"/>
                <w:color w:val="000000" w:themeColor="text1"/>
                <w:szCs w:val="16"/>
              </w:rPr>
            </w:pPr>
            <w:r w:rsidRPr="00781112">
              <w:rPr>
                <w:rFonts w:cs="Arial"/>
                <w:color w:val="000000" w:themeColor="text1"/>
                <w:szCs w:val="16"/>
              </w:rPr>
              <w:t>3,053</w:t>
            </w:r>
          </w:p>
        </w:tc>
        <w:tc>
          <w:tcPr>
            <w:tcW w:w="543" w:type="pct"/>
            <w:shd w:val="clear" w:color="auto" w:fill="auto"/>
            <w:vAlign w:val="center"/>
          </w:tcPr>
          <w:p w14:paraId="0B86042E" w14:textId="01488A08" w:rsidR="00A86385" w:rsidRPr="00781112" w:rsidRDefault="002B7490" w:rsidP="00A018D4">
            <w:pPr>
              <w:jc w:val="center"/>
              <w:rPr>
                <w:rFonts w:cs="Arial"/>
                <w:color w:val="000000" w:themeColor="text1"/>
                <w:szCs w:val="16"/>
              </w:rPr>
            </w:pPr>
            <w:r w:rsidRPr="00781112">
              <w:rPr>
                <w:rFonts w:cs="Arial"/>
                <w:color w:val="000000" w:themeColor="text1"/>
                <w:szCs w:val="16"/>
              </w:rPr>
              <w:t>59.60%</w:t>
            </w:r>
          </w:p>
        </w:tc>
        <w:tc>
          <w:tcPr>
            <w:tcW w:w="584" w:type="pct"/>
            <w:shd w:val="clear" w:color="auto" w:fill="auto"/>
            <w:vAlign w:val="center"/>
          </w:tcPr>
          <w:p w14:paraId="33474719" w14:textId="0E1ED729" w:rsidR="00A86385" w:rsidRPr="00781112" w:rsidRDefault="002B7490" w:rsidP="00A018D4">
            <w:pPr>
              <w:jc w:val="center"/>
              <w:rPr>
                <w:rFonts w:cs="Arial"/>
                <w:color w:val="000000" w:themeColor="text1"/>
                <w:szCs w:val="16"/>
              </w:rPr>
            </w:pPr>
            <w:r w:rsidRPr="00781112">
              <w:rPr>
                <w:rFonts w:cs="Arial"/>
                <w:color w:val="000000" w:themeColor="text1"/>
                <w:szCs w:val="16"/>
              </w:rPr>
              <w:t>59.50%</w:t>
            </w:r>
          </w:p>
        </w:tc>
        <w:tc>
          <w:tcPr>
            <w:tcW w:w="584" w:type="pct"/>
            <w:shd w:val="clear" w:color="auto" w:fill="auto"/>
            <w:vAlign w:val="center"/>
          </w:tcPr>
          <w:p w14:paraId="073970A2" w14:textId="5A7FF3FA" w:rsidR="00A86385" w:rsidRPr="00781112" w:rsidRDefault="002B7490" w:rsidP="00A018D4">
            <w:pPr>
              <w:jc w:val="center"/>
              <w:rPr>
                <w:rFonts w:cs="Arial"/>
                <w:color w:val="000000" w:themeColor="text1"/>
                <w:szCs w:val="16"/>
              </w:rPr>
            </w:pPr>
            <w:r w:rsidRPr="00781112">
              <w:rPr>
                <w:rFonts w:cs="Arial"/>
                <w:color w:val="000000" w:themeColor="text1"/>
                <w:szCs w:val="16"/>
              </w:rPr>
              <w:t>60.43%</w:t>
            </w:r>
          </w:p>
        </w:tc>
        <w:tc>
          <w:tcPr>
            <w:tcW w:w="486" w:type="pct"/>
            <w:shd w:val="clear" w:color="auto" w:fill="auto"/>
            <w:vAlign w:val="center"/>
          </w:tcPr>
          <w:p w14:paraId="2B7E9ACC" w14:textId="45CB2456"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33" w:type="pct"/>
            <w:shd w:val="clear" w:color="auto" w:fill="auto"/>
            <w:vAlign w:val="center"/>
          </w:tcPr>
          <w:p w14:paraId="04CCC32D" w14:textId="64DEC314"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2AAE7F9" w14:textId="77777777" w:rsidR="00A80FEB" w:rsidRPr="00781112" w:rsidRDefault="00A80FEB" w:rsidP="004369B2">
      <w:pPr>
        <w:rPr>
          <w:color w:val="000000" w:themeColor="text1"/>
        </w:rPr>
      </w:pPr>
      <w:r w:rsidRPr="00781112">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227"/>
        <w:gridCol w:w="1783"/>
        <w:gridCol w:w="1780"/>
      </w:tblGrid>
      <w:tr w:rsidR="005C29F8" w:rsidRPr="00781112" w14:paraId="5A5015FC" w14:textId="4FA08BD6" w:rsidTr="0033429D">
        <w:trPr>
          <w:trHeight w:val="361"/>
          <w:tblHeader/>
        </w:trPr>
        <w:tc>
          <w:tcPr>
            <w:tcW w:w="3349" w:type="pct"/>
            <w:shd w:val="clear" w:color="auto" w:fill="auto"/>
            <w:vAlign w:val="bottom"/>
          </w:tcPr>
          <w:p w14:paraId="4191FDB2" w14:textId="72ED8C9D" w:rsidR="002F2379" w:rsidRPr="00781112" w:rsidRDefault="009028CA" w:rsidP="0024351A">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shd w:val="clear" w:color="auto" w:fill="auto"/>
            <w:vAlign w:val="bottom"/>
          </w:tcPr>
          <w:p w14:paraId="18BE5F06"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D2176F1" w14:textId="0AB04833"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91128D7" w14:textId="67DCF276" w:rsidTr="00AB0D6A">
        <w:trPr>
          <w:trHeight w:val="361"/>
        </w:trPr>
        <w:tc>
          <w:tcPr>
            <w:tcW w:w="3349" w:type="pct"/>
            <w:shd w:val="clear" w:color="auto" w:fill="auto"/>
          </w:tcPr>
          <w:p w14:paraId="4D685636"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36C04483" w14:textId="33014E3B" w:rsidR="00A86385" w:rsidRPr="00781112" w:rsidRDefault="002B7490" w:rsidP="00A018D4">
            <w:pPr>
              <w:jc w:val="center"/>
              <w:rPr>
                <w:rFonts w:cs="Arial"/>
                <w:color w:val="000000" w:themeColor="text1"/>
                <w:szCs w:val="16"/>
              </w:rPr>
            </w:pPr>
            <w:r w:rsidRPr="00781112">
              <w:rPr>
                <w:rFonts w:cs="Arial"/>
                <w:color w:val="000000" w:themeColor="text1"/>
                <w:szCs w:val="16"/>
              </w:rPr>
              <w:t>3</w:t>
            </w:r>
          </w:p>
        </w:tc>
        <w:tc>
          <w:tcPr>
            <w:tcW w:w="825" w:type="pct"/>
            <w:shd w:val="clear" w:color="auto" w:fill="auto"/>
            <w:vAlign w:val="center"/>
          </w:tcPr>
          <w:p w14:paraId="224E7CD3" w14:textId="5C0B6B10" w:rsidR="00A86385" w:rsidRPr="00781112" w:rsidRDefault="002B7490" w:rsidP="00A018D4">
            <w:pPr>
              <w:jc w:val="center"/>
              <w:rPr>
                <w:rFonts w:cs="Arial"/>
                <w:color w:val="000000" w:themeColor="text1"/>
                <w:szCs w:val="16"/>
              </w:rPr>
            </w:pPr>
            <w:r w:rsidRPr="00781112">
              <w:rPr>
                <w:rFonts w:cs="Arial"/>
                <w:color w:val="000000" w:themeColor="text1"/>
                <w:szCs w:val="16"/>
              </w:rPr>
              <w:t>0.10%</w:t>
            </w:r>
          </w:p>
        </w:tc>
      </w:tr>
      <w:tr w:rsidR="005C29F8" w:rsidRPr="00781112" w14:paraId="0DFF86FC" w14:textId="381769F8" w:rsidTr="00AB0D6A">
        <w:trPr>
          <w:trHeight w:val="361"/>
        </w:trPr>
        <w:tc>
          <w:tcPr>
            <w:tcW w:w="3349" w:type="pct"/>
            <w:shd w:val="clear" w:color="auto" w:fill="auto"/>
          </w:tcPr>
          <w:p w14:paraId="72586C03"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453499DD" w14:textId="60CEBF1E" w:rsidR="00A86385" w:rsidRPr="00781112" w:rsidRDefault="002B7490" w:rsidP="00A018D4">
            <w:pPr>
              <w:jc w:val="center"/>
              <w:rPr>
                <w:rFonts w:cs="Arial"/>
                <w:color w:val="000000" w:themeColor="text1"/>
                <w:szCs w:val="16"/>
              </w:rPr>
            </w:pPr>
            <w:r w:rsidRPr="00781112">
              <w:rPr>
                <w:rFonts w:cs="Arial"/>
                <w:color w:val="000000" w:themeColor="text1"/>
                <w:szCs w:val="16"/>
              </w:rPr>
              <w:t>118</w:t>
            </w:r>
          </w:p>
        </w:tc>
        <w:tc>
          <w:tcPr>
            <w:tcW w:w="825" w:type="pct"/>
            <w:shd w:val="clear" w:color="auto" w:fill="auto"/>
            <w:vAlign w:val="center"/>
          </w:tcPr>
          <w:p w14:paraId="75491539" w14:textId="4C6956ED" w:rsidR="00A86385" w:rsidRPr="00781112" w:rsidRDefault="002B7490" w:rsidP="00A018D4">
            <w:pPr>
              <w:jc w:val="center"/>
              <w:rPr>
                <w:rFonts w:cs="Arial"/>
                <w:color w:val="000000" w:themeColor="text1"/>
                <w:szCs w:val="16"/>
              </w:rPr>
            </w:pPr>
            <w:r w:rsidRPr="00781112">
              <w:rPr>
                <w:rFonts w:cs="Arial"/>
                <w:color w:val="000000" w:themeColor="text1"/>
                <w:szCs w:val="16"/>
              </w:rPr>
              <w:t>3.87%</w:t>
            </w:r>
          </w:p>
        </w:tc>
      </w:tr>
      <w:tr w:rsidR="005C29F8" w:rsidRPr="00781112" w14:paraId="055A4C9A" w14:textId="0FC02C83" w:rsidTr="00AB0D6A">
        <w:trPr>
          <w:trHeight w:val="395"/>
        </w:trPr>
        <w:tc>
          <w:tcPr>
            <w:tcW w:w="3349" w:type="pct"/>
            <w:shd w:val="clear" w:color="auto" w:fill="auto"/>
          </w:tcPr>
          <w:p w14:paraId="1EEA20E7"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16FD0FF8" w14:textId="15197C29" w:rsidR="00A86385" w:rsidRPr="00781112" w:rsidRDefault="002B7490" w:rsidP="00A018D4">
            <w:pPr>
              <w:jc w:val="center"/>
              <w:rPr>
                <w:rFonts w:cs="Arial"/>
                <w:color w:val="000000" w:themeColor="text1"/>
                <w:szCs w:val="16"/>
              </w:rPr>
            </w:pPr>
            <w:r w:rsidRPr="00781112">
              <w:rPr>
                <w:rFonts w:cs="Arial"/>
                <w:color w:val="000000" w:themeColor="text1"/>
                <w:szCs w:val="16"/>
              </w:rPr>
              <w:t>778</w:t>
            </w:r>
          </w:p>
        </w:tc>
        <w:tc>
          <w:tcPr>
            <w:tcW w:w="825" w:type="pct"/>
            <w:shd w:val="clear" w:color="auto" w:fill="auto"/>
            <w:vAlign w:val="center"/>
          </w:tcPr>
          <w:p w14:paraId="5A785A5B" w14:textId="096612D9" w:rsidR="00A86385" w:rsidRPr="00781112" w:rsidRDefault="002B7490" w:rsidP="00A018D4">
            <w:pPr>
              <w:jc w:val="center"/>
              <w:rPr>
                <w:rFonts w:cs="Arial"/>
                <w:color w:val="000000" w:themeColor="text1"/>
                <w:szCs w:val="16"/>
              </w:rPr>
            </w:pPr>
            <w:r w:rsidRPr="00781112">
              <w:rPr>
                <w:rFonts w:cs="Arial"/>
                <w:color w:val="000000" w:themeColor="text1"/>
                <w:szCs w:val="16"/>
              </w:rPr>
              <w:t>25.48%</w:t>
            </w:r>
          </w:p>
        </w:tc>
      </w:tr>
      <w:tr w:rsidR="005C29F8" w:rsidRPr="00781112" w14:paraId="116C43B5" w14:textId="562F3ACF" w:rsidTr="00AB0D6A">
        <w:trPr>
          <w:trHeight w:val="361"/>
        </w:trPr>
        <w:tc>
          <w:tcPr>
            <w:tcW w:w="3349" w:type="pct"/>
            <w:shd w:val="clear" w:color="auto" w:fill="auto"/>
          </w:tcPr>
          <w:p w14:paraId="74396990"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5993AD4D" w14:textId="0747815C" w:rsidR="00A86385" w:rsidRPr="00781112" w:rsidRDefault="002B7490" w:rsidP="00A018D4">
            <w:pPr>
              <w:jc w:val="center"/>
              <w:rPr>
                <w:rFonts w:cs="Arial"/>
                <w:color w:val="000000" w:themeColor="text1"/>
                <w:szCs w:val="16"/>
              </w:rPr>
            </w:pPr>
            <w:r w:rsidRPr="00781112">
              <w:rPr>
                <w:rFonts w:cs="Arial"/>
                <w:color w:val="000000" w:themeColor="text1"/>
                <w:szCs w:val="16"/>
              </w:rPr>
              <w:t>1,647</w:t>
            </w:r>
          </w:p>
        </w:tc>
        <w:tc>
          <w:tcPr>
            <w:tcW w:w="825" w:type="pct"/>
            <w:shd w:val="clear" w:color="auto" w:fill="auto"/>
            <w:vAlign w:val="center"/>
          </w:tcPr>
          <w:p w14:paraId="6CF00AA9" w14:textId="2DDC2AAD" w:rsidR="00A86385" w:rsidRPr="00781112" w:rsidRDefault="002B7490" w:rsidP="00A018D4">
            <w:pPr>
              <w:jc w:val="center"/>
              <w:rPr>
                <w:rFonts w:cs="Arial"/>
                <w:color w:val="000000" w:themeColor="text1"/>
                <w:szCs w:val="16"/>
              </w:rPr>
            </w:pPr>
            <w:r w:rsidRPr="00781112">
              <w:rPr>
                <w:rFonts w:cs="Arial"/>
                <w:color w:val="000000" w:themeColor="text1"/>
                <w:szCs w:val="16"/>
              </w:rPr>
              <w:t>53.95%</w:t>
            </w:r>
          </w:p>
        </w:tc>
      </w:tr>
      <w:tr w:rsidR="005C29F8" w:rsidRPr="00781112" w14:paraId="4BA9BE51" w14:textId="4FD5F213" w:rsidTr="00AB0D6A">
        <w:trPr>
          <w:trHeight w:val="361"/>
        </w:trPr>
        <w:tc>
          <w:tcPr>
            <w:tcW w:w="3349" w:type="pct"/>
            <w:shd w:val="clear" w:color="auto" w:fill="auto"/>
          </w:tcPr>
          <w:p w14:paraId="016E3D57"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D33EA20" w14:textId="42CC1D2C" w:rsidR="00A86385" w:rsidRPr="00781112" w:rsidRDefault="002B7490" w:rsidP="00A018D4">
            <w:pPr>
              <w:jc w:val="center"/>
              <w:rPr>
                <w:rFonts w:cs="Arial"/>
                <w:color w:val="000000" w:themeColor="text1"/>
                <w:szCs w:val="16"/>
              </w:rPr>
            </w:pPr>
            <w:r w:rsidRPr="00781112">
              <w:rPr>
                <w:rFonts w:cs="Arial"/>
                <w:color w:val="000000" w:themeColor="text1"/>
                <w:szCs w:val="16"/>
              </w:rPr>
              <w:t>507</w:t>
            </w:r>
          </w:p>
        </w:tc>
        <w:tc>
          <w:tcPr>
            <w:tcW w:w="825" w:type="pct"/>
            <w:shd w:val="clear" w:color="auto" w:fill="auto"/>
            <w:vAlign w:val="center"/>
          </w:tcPr>
          <w:p w14:paraId="5DB4A655" w14:textId="2961CB8C" w:rsidR="00A86385" w:rsidRPr="00781112" w:rsidRDefault="002B7490" w:rsidP="00A018D4">
            <w:pPr>
              <w:jc w:val="center"/>
              <w:rPr>
                <w:rFonts w:cs="Arial"/>
                <w:color w:val="000000" w:themeColor="text1"/>
                <w:szCs w:val="16"/>
              </w:rPr>
            </w:pPr>
            <w:r w:rsidRPr="00781112">
              <w:rPr>
                <w:rFonts w:cs="Arial"/>
                <w:color w:val="000000" w:themeColor="text1"/>
                <w:szCs w:val="16"/>
              </w:rPr>
              <w:t>16.61%</w:t>
            </w:r>
          </w:p>
        </w:tc>
      </w:tr>
    </w:tbl>
    <w:p w14:paraId="49F715FF"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AA4F85" w:rsidRPr="00781112" w14:paraId="6D854191" w14:textId="189CF04C" w:rsidTr="00AB0D6A">
        <w:trPr>
          <w:trHeight w:val="354"/>
          <w:tblHeader/>
        </w:trPr>
        <w:tc>
          <w:tcPr>
            <w:tcW w:w="999" w:type="pct"/>
            <w:shd w:val="clear" w:color="auto" w:fill="auto"/>
            <w:vAlign w:val="bottom"/>
          </w:tcPr>
          <w:p w14:paraId="2713B90C" w14:textId="70596E6D" w:rsidR="00AA4F85" w:rsidRPr="00781112" w:rsidRDefault="00AA4F85" w:rsidP="00AA4F85">
            <w:pPr>
              <w:rPr>
                <w:rFonts w:cs="Arial"/>
                <w:b/>
                <w:bCs/>
                <w:color w:val="000000" w:themeColor="text1"/>
                <w:szCs w:val="16"/>
              </w:rPr>
            </w:pPr>
            <w:r w:rsidRPr="00781112">
              <w:rPr>
                <w:rFonts w:cs="Arial"/>
                <w:b/>
                <w:bCs/>
                <w:color w:val="000000" w:themeColor="text1"/>
                <w:szCs w:val="16"/>
              </w:rPr>
              <w:t>Outcome C</w:t>
            </w:r>
          </w:p>
        </w:tc>
        <w:tc>
          <w:tcPr>
            <w:tcW w:w="584" w:type="pct"/>
            <w:shd w:val="clear" w:color="auto" w:fill="auto"/>
            <w:vAlign w:val="bottom"/>
          </w:tcPr>
          <w:p w14:paraId="3AAEB9E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84" w:type="pct"/>
            <w:shd w:val="clear" w:color="auto" w:fill="auto"/>
            <w:vAlign w:val="bottom"/>
          </w:tcPr>
          <w:p w14:paraId="5C1FBE9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43" w:type="pct"/>
            <w:shd w:val="clear" w:color="auto" w:fill="auto"/>
            <w:vAlign w:val="bottom"/>
          </w:tcPr>
          <w:p w14:paraId="7E124690" w14:textId="3A34568D" w:rsidR="00AA4F85" w:rsidRPr="00CC1061" w:rsidRDefault="00AA4F85" w:rsidP="00AA4F85">
            <w:pPr>
              <w:jc w:val="center"/>
              <w:rPr>
                <w:rFonts w:cs="Arial"/>
                <w:b/>
                <w:bCs/>
                <w:color w:val="000000" w:themeColor="text1"/>
                <w:szCs w:val="16"/>
              </w:rPr>
            </w:pPr>
            <w:r w:rsidRPr="00CC1061">
              <w:rPr>
                <w:b/>
                <w:bCs/>
              </w:rPr>
              <w:t>FFY 2020 Data</w:t>
            </w:r>
          </w:p>
        </w:tc>
        <w:tc>
          <w:tcPr>
            <w:tcW w:w="584" w:type="pct"/>
            <w:shd w:val="clear" w:color="auto" w:fill="auto"/>
            <w:vAlign w:val="bottom"/>
          </w:tcPr>
          <w:p w14:paraId="7E59D447" w14:textId="7E763810" w:rsidR="00AA4F85" w:rsidRPr="00CC1061" w:rsidRDefault="00AA4F85" w:rsidP="00AA4F85">
            <w:pPr>
              <w:jc w:val="center"/>
              <w:rPr>
                <w:rFonts w:cs="Arial"/>
                <w:b/>
                <w:bCs/>
                <w:color w:val="000000" w:themeColor="text1"/>
                <w:szCs w:val="16"/>
              </w:rPr>
            </w:pPr>
            <w:r w:rsidRPr="00CC1061">
              <w:rPr>
                <w:b/>
                <w:bCs/>
              </w:rPr>
              <w:t>FFY 2021 Target</w:t>
            </w:r>
          </w:p>
        </w:tc>
        <w:tc>
          <w:tcPr>
            <w:tcW w:w="625" w:type="pct"/>
            <w:shd w:val="clear" w:color="auto" w:fill="auto"/>
            <w:vAlign w:val="bottom"/>
          </w:tcPr>
          <w:p w14:paraId="48E0A776" w14:textId="1851C549" w:rsidR="00AA4F85" w:rsidRPr="00CC1061" w:rsidRDefault="00AA4F85" w:rsidP="00AA4F85">
            <w:pPr>
              <w:jc w:val="center"/>
              <w:rPr>
                <w:rFonts w:cs="Arial"/>
                <w:b/>
                <w:bCs/>
                <w:color w:val="000000" w:themeColor="text1"/>
                <w:szCs w:val="16"/>
              </w:rPr>
            </w:pPr>
            <w:r w:rsidRPr="00CC1061">
              <w:rPr>
                <w:b/>
                <w:bCs/>
              </w:rPr>
              <w:t>FFY 2021 Data</w:t>
            </w:r>
          </w:p>
        </w:tc>
        <w:tc>
          <w:tcPr>
            <w:tcW w:w="459" w:type="pct"/>
            <w:shd w:val="clear" w:color="auto" w:fill="auto"/>
            <w:vAlign w:val="bottom"/>
          </w:tcPr>
          <w:p w14:paraId="1271E5C2" w14:textId="7C29A2B3"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622" w:type="pct"/>
            <w:shd w:val="clear" w:color="auto" w:fill="auto"/>
            <w:vAlign w:val="bottom"/>
          </w:tcPr>
          <w:p w14:paraId="57BB5D90" w14:textId="5C773F81"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060DACA6" w14:textId="4A0141DE" w:rsidTr="00AB0D6A">
        <w:trPr>
          <w:trHeight w:val="361"/>
        </w:trPr>
        <w:tc>
          <w:tcPr>
            <w:tcW w:w="999" w:type="pct"/>
            <w:shd w:val="clear" w:color="auto" w:fill="auto"/>
          </w:tcPr>
          <w:p w14:paraId="53F10B71" w14:textId="77777777" w:rsidR="00757D21" w:rsidRPr="00781112" w:rsidRDefault="00A86385" w:rsidP="00E526FC">
            <w:pPr>
              <w:rPr>
                <w:rFonts w:cs="Arial"/>
                <w:color w:val="000000" w:themeColor="text1"/>
                <w:szCs w:val="16"/>
              </w:rPr>
            </w:pPr>
            <w:r w:rsidRPr="00781112">
              <w:rPr>
                <w:rFonts w:cs="Arial"/>
                <w:color w:val="000000" w:themeColor="text1"/>
                <w:szCs w:val="16"/>
              </w:rPr>
              <w:t>C1. Of those children who entered or exited the program below age expectations in Outcome C, the percent who substantially increased their rate of growth by the time they turned 6 years of age or exited the program.</w:t>
            </w:r>
          </w:p>
          <w:p w14:paraId="78844CD5" w14:textId="49EF12B7" w:rsidR="00A86385" w:rsidRPr="00781112" w:rsidRDefault="00757D21" w:rsidP="00E526FC">
            <w:pPr>
              <w:rPr>
                <w:rFonts w:cs="Arial"/>
                <w:color w:val="000000" w:themeColor="text1"/>
                <w:szCs w:val="16"/>
              </w:rPr>
            </w:pPr>
            <w:r w:rsidRPr="00781112">
              <w:rPr>
                <w:rFonts w:cs="Arial"/>
                <w:i/>
                <w:iCs/>
                <w:color w:val="C00000"/>
                <w:szCs w:val="16"/>
              </w:rPr>
              <w:t>Calculation:(c+d)/(a+b+c+d)</w:t>
            </w:r>
            <w:r w:rsidR="00A86385" w:rsidRPr="00781112">
              <w:rPr>
                <w:rFonts w:cs="Arial"/>
                <w:color w:val="000000" w:themeColor="text1"/>
                <w:szCs w:val="16"/>
              </w:rPr>
              <w:t xml:space="preserve"> </w:t>
            </w:r>
          </w:p>
        </w:tc>
        <w:tc>
          <w:tcPr>
            <w:tcW w:w="584" w:type="pct"/>
            <w:shd w:val="clear" w:color="auto" w:fill="auto"/>
            <w:vAlign w:val="center"/>
          </w:tcPr>
          <w:p w14:paraId="06847B86" w14:textId="57D8DF81" w:rsidR="00A86385" w:rsidRPr="00781112" w:rsidRDefault="002B7490" w:rsidP="00A018D4">
            <w:pPr>
              <w:jc w:val="center"/>
              <w:rPr>
                <w:rFonts w:cs="Arial"/>
                <w:color w:val="000000" w:themeColor="text1"/>
                <w:szCs w:val="16"/>
              </w:rPr>
            </w:pPr>
            <w:r w:rsidRPr="00781112">
              <w:rPr>
                <w:rFonts w:cs="Arial"/>
                <w:color w:val="000000" w:themeColor="text1"/>
                <w:szCs w:val="16"/>
              </w:rPr>
              <w:t>2,425</w:t>
            </w:r>
          </w:p>
        </w:tc>
        <w:tc>
          <w:tcPr>
            <w:tcW w:w="584" w:type="pct"/>
            <w:shd w:val="clear" w:color="auto" w:fill="auto"/>
            <w:vAlign w:val="center"/>
          </w:tcPr>
          <w:p w14:paraId="238365C6" w14:textId="3568431D" w:rsidR="00A86385" w:rsidRPr="00781112" w:rsidRDefault="002B7490" w:rsidP="00A018D4">
            <w:pPr>
              <w:jc w:val="center"/>
              <w:rPr>
                <w:rFonts w:cs="Arial"/>
                <w:color w:val="000000" w:themeColor="text1"/>
                <w:szCs w:val="16"/>
              </w:rPr>
            </w:pPr>
            <w:r w:rsidRPr="00781112">
              <w:rPr>
                <w:rFonts w:cs="Arial"/>
                <w:color w:val="000000" w:themeColor="text1"/>
                <w:szCs w:val="16"/>
              </w:rPr>
              <w:t>2,546</w:t>
            </w:r>
          </w:p>
        </w:tc>
        <w:tc>
          <w:tcPr>
            <w:tcW w:w="543" w:type="pct"/>
            <w:shd w:val="clear" w:color="auto" w:fill="auto"/>
            <w:vAlign w:val="center"/>
          </w:tcPr>
          <w:p w14:paraId="4D92698F" w14:textId="1CB8B6A4" w:rsidR="00A86385" w:rsidRPr="00781112" w:rsidRDefault="002B7490" w:rsidP="00A018D4">
            <w:pPr>
              <w:jc w:val="center"/>
              <w:rPr>
                <w:rFonts w:cs="Arial"/>
                <w:color w:val="000000" w:themeColor="text1"/>
                <w:szCs w:val="16"/>
              </w:rPr>
            </w:pPr>
            <w:r w:rsidRPr="00781112">
              <w:rPr>
                <w:rFonts w:cs="Arial"/>
                <w:color w:val="000000" w:themeColor="text1"/>
                <w:szCs w:val="16"/>
              </w:rPr>
              <w:t>94.87%</w:t>
            </w:r>
          </w:p>
        </w:tc>
        <w:tc>
          <w:tcPr>
            <w:tcW w:w="584" w:type="pct"/>
            <w:shd w:val="clear" w:color="auto" w:fill="auto"/>
            <w:vAlign w:val="center"/>
          </w:tcPr>
          <w:p w14:paraId="282346A8" w14:textId="638BF2E5" w:rsidR="00A86385" w:rsidRPr="00781112" w:rsidRDefault="002B7490" w:rsidP="00A018D4">
            <w:pPr>
              <w:jc w:val="center"/>
              <w:rPr>
                <w:rFonts w:cs="Arial"/>
                <w:color w:val="000000" w:themeColor="text1"/>
                <w:szCs w:val="16"/>
              </w:rPr>
            </w:pPr>
            <w:r w:rsidRPr="00781112">
              <w:rPr>
                <w:rFonts w:cs="Arial"/>
                <w:color w:val="000000" w:themeColor="text1"/>
                <w:szCs w:val="16"/>
              </w:rPr>
              <w:t>93.50%</w:t>
            </w:r>
          </w:p>
        </w:tc>
        <w:tc>
          <w:tcPr>
            <w:tcW w:w="625" w:type="pct"/>
            <w:shd w:val="clear" w:color="auto" w:fill="auto"/>
            <w:vAlign w:val="center"/>
          </w:tcPr>
          <w:p w14:paraId="02E42936" w14:textId="312E4B4A" w:rsidR="00A86385" w:rsidRPr="00781112" w:rsidRDefault="002B7490" w:rsidP="00A018D4">
            <w:pPr>
              <w:jc w:val="center"/>
              <w:rPr>
                <w:rFonts w:cs="Arial"/>
                <w:color w:val="000000" w:themeColor="text1"/>
                <w:szCs w:val="16"/>
              </w:rPr>
            </w:pPr>
            <w:r w:rsidRPr="00781112">
              <w:rPr>
                <w:rFonts w:cs="Arial"/>
                <w:color w:val="000000" w:themeColor="text1"/>
                <w:szCs w:val="16"/>
              </w:rPr>
              <w:t>95.25%</w:t>
            </w:r>
          </w:p>
        </w:tc>
        <w:tc>
          <w:tcPr>
            <w:tcW w:w="459" w:type="pct"/>
            <w:shd w:val="clear" w:color="auto" w:fill="auto"/>
            <w:vAlign w:val="center"/>
          </w:tcPr>
          <w:p w14:paraId="1B13A98E" w14:textId="3F3B6900"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2" w:type="pct"/>
            <w:shd w:val="clear" w:color="auto" w:fill="auto"/>
            <w:vAlign w:val="center"/>
          </w:tcPr>
          <w:p w14:paraId="2D48B259" w14:textId="3185C0C7"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1CBC0C6" w14:textId="58EECBDC" w:rsidTr="00AB0D6A">
        <w:trPr>
          <w:trHeight w:val="361"/>
        </w:trPr>
        <w:tc>
          <w:tcPr>
            <w:tcW w:w="999" w:type="pct"/>
            <w:shd w:val="clear" w:color="auto" w:fill="auto"/>
          </w:tcPr>
          <w:p w14:paraId="080A6F16"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14:paraId="3AD697BE" w14:textId="13545BB0" w:rsidR="00757D21" w:rsidRPr="0075451F" w:rsidRDefault="00757D21" w:rsidP="00E526FC">
            <w:pPr>
              <w:rPr>
                <w:rFonts w:cs="Arial"/>
                <w:color w:val="000000" w:themeColor="text1"/>
                <w:szCs w:val="16"/>
                <w:lang w:val="es-ES"/>
              </w:rPr>
            </w:pPr>
            <w:r w:rsidRPr="0075451F">
              <w:rPr>
                <w:rFonts w:cs="Arial"/>
                <w:i/>
                <w:iCs/>
                <w:color w:val="C00000"/>
                <w:szCs w:val="16"/>
                <w:lang w:val="es-ES"/>
              </w:rPr>
              <w:t>Calculation: (d+e)/(a+b+c+d+e)</w:t>
            </w:r>
          </w:p>
        </w:tc>
        <w:tc>
          <w:tcPr>
            <w:tcW w:w="584" w:type="pct"/>
            <w:shd w:val="clear" w:color="auto" w:fill="auto"/>
            <w:vAlign w:val="center"/>
          </w:tcPr>
          <w:p w14:paraId="55881F07" w14:textId="24379895" w:rsidR="00E526FC" w:rsidRPr="00781112" w:rsidRDefault="002B7490" w:rsidP="00A018D4">
            <w:pPr>
              <w:jc w:val="center"/>
              <w:rPr>
                <w:rFonts w:cs="Arial"/>
                <w:color w:val="000000" w:themeColor="text1"/>
                <w:szCs w:val="16"/>
              </w:rPr>
            </w:pPr>
            <w:r w:rsidRPr="00781112">
              <w:rPr>
                <w:rFonts w:cs="Arial"/>
                <w:color w:val="000000" w:themeColor="text1"/>
                <w:szCs w:val="16"/>
              </w:rPr>
              <w:t>2,154</w:t>
            </w:r>
          </w:p>
        </w:tc>
        <w:tc>
          <w:tcPr>
            <w:tcW w:w="584" w:type="pct"/>
            <w:shd w:val="clear" w:color="auto" w:fill="auto"/>
            <w:vAlign w:val="center"/>
          </w:tcPr>
          <w:p w14:paraId="621B2290" w14:textId="0CB78FA1" w:rsidR="00E526FC" w:rsidRPr="00781112" w:rsidRDefault="002B7490" w:rsidP="00A018D4">
            <w:pPr>
              <w:jc w:val="center"/>
              <w:rPr>
                <w:rFonts w:cs="Arial"/>
                <w:color w:val="000000" w:themeColor="text1"/>
                <w:szCs w:val="16"/>
              </w:rPr>
            </w:pPr>
            <w:r w:rsidRPr="00781112">
              <w:rPr>
                <w:rFonts w:cs="Arial"/>
                <w:color w:val="000000" w:themeColor="text1"/>
                <w:szCs w:val="16"/>
              </w:rPr>
              <w:t>3,053</w:t>
            </w:r>
          </w:p>
        </w:tc>
        <w:tc>
          <w:tcPr>
            <w:tcW w:w="543" w:type="pct"/>
            <w:shd w:val="clear" w:color="auto" w:fill="auto"/>
            <w:vAlign w:val="center"/>
          </w:tcPr>
          <w:p w14:paraId="62DBFBFA" w14:textId="0CDB12CF" w:rsidR="00A86385" w:rsidRPr="00781112" w:rsidRDefault="002B7490" w:rsidP="00A018D4">
            <w:pPr>
              <w:jc w:val="center"/>
              <w:rPr>
                <w:rFonts w:cs="Arial"/>
                <w:color w:val="000000" w:themeColor="text1"/>
                <w:szCs w:val="16"/>
              </w:rPr>
            </w:pPr>
            <w:r w:rsidRPr="00781112">
              <w:rPr>
                <w:rFonts w:cs="Arial"/>
                <w:color w:val="000000" w:themeColor="text1"/>
                <w:szCs w:val="16"/>
              </w:rPr>
              <w:t>70.80%</w:t>
            </w:r>
          </w:p>
        </w:tc>
        <w:tc>
          <w:tcPr>
            <w:tcW w:w="584" w:type="pct"/>
            <w:shd w:val="clear" w:color="auto" w:fill="auto"/>
            <w:vAlign w:val="center"/>
          </w:tcPr>
          <w:p w14:paraId="63A1936F" w14:textId="04F440D6" w:rsidR="00A86385" w:rsidRPr="00781112" w:rsidRDefault="002B7490" w:rsidP="00A018D4">
            <w:pPr>
              <w:jc w:val="center"/>
              <w:rPr>
                <w:rFonts w:cs="Arial"/>
                <w:color w:val="000000" w:themeColor="text1"/>
                <w:szCs w:val="16"/>
              </w:rPr>
            </w:pPr>
            <w:r w:rsidRPr="00781112">
              <w:rPr>
                <w:rFonts w:cs="Arial"/>
                <w:color w:val="000000" w:themeColor="text1"/>
                <w:szCs w:val="16"/>
              </w:rPr>
              <w:t>71.00%</w:t>
            </w:r>
          </w:p>
        </w:tc>
        <w:tc>
          <w:tcPr>
            <w:tcW w:w="625" w:type="pct"/>
            <w:shd w:val="clear" w:color="auto" w:fill="auto"/>
            <w:vAlign w:val="center"/>
          </w:tcPr>
          <w:p w14:paraId="4609D20B" w14:textId="7D9B89C4" w:rsidR="00A86385" w:rsidRPr="00781112" w:rsidRDefault="002B7490" w:rsidP="00A018D4">
            <w:pPr>
              <w:jc w:val="center"/>
              <w:rPr>
                <w:rFonts w:cs="Arial"/>
                <w:color w:val="000000" w:themeColor="text1"/>
                <w:szCs w:val="16"/>
              </w:rPr>
            </w:pPr>
            <w:r w:rsidRPr="00781112">
              <w:rPr>
                <w:rFonts w:cs="Arial"/>
                <w:color w:val="000000" w:themeColor="text1"/>
                <w:szCs w:val="16"/>
              </w:rPr>
              <w:t>70.55%</w:t>
            </w:r>
          </w:p>
        </w:tc>
        <w:tc>
          <w:tcPr>
            <w:tcW w:w="459" w:type="pct"/>
            <w:shd w:val="clear" w:color="auto" w:fill="auto"/>
            <w:vAlign w:val="center"/>
          </w:tcPr>
          <w:p w14:paraId="5F56D20D" w14:textId="6A83021F"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14:paraId="5C0F945B" w14:textId="613A8501"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05291D6" w14:textId="2B417D4B" w:rsidR="009B37A2" w:rsidRPr="00781112" w:rsidRDefault="009B37A2" w:rsidP="00B3121C">
      <w:pPr>
        <w:rPr>
          <w:color w:val="000000" w:themeColor="text1"/>
        </w:rPr>
      </w:pPr>
    </w:p>
    <w:p w14:paraId="399E6348" w14:textId="36EEF00B"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35B562FF" w14:textId="1FE02532" w:rsidR="005033CE" w:rsidRPr="00781112" w:rsidRDefault="004B2C2D" w:rsidP="007D435F">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9"/>
        <w:gridCol w:w="2471"/>
      </w:tblGrid>
      <w:tr w:rsidR="005C29F8" w:rsidRPr="00781112" w14:paraId="0BD085FB" w14:textId="77777777" w:rsidTr="0033429D">
        <w:trPr>
          <w:tblHeader/>
        </w:trPr>
        <w:tc>
          <w:tcPr>
            <w:tcW w:w="3855" w:type="pct"/>
            <w:tcBorders>
              <w:top w:val="single" w:sz="4" w:space="0" w:color="auto"/>
              <w:left w:val="single" w:sz="4" w:space="0" w:color="auto"/>
            </w:tcBorders>
            <w:shd w:val="clear" w:color="auto" w:fill="auto"/>
          </w:tcPr>
          <w:p w14:paraId="5AC005B4" w14:textId="48902820" w:rsidR="00B461E1" w:rsidRPr="00781112" w:rsidRDefault="001D6B3B" w:rsidP="00A80FEB">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sz="4" w:space="0" w:color="auto"/>
            </w:tcBorders>
            <w:shd w:val="clear" w:color="auto" w:fill="auto"/>
          </w:tcPr>
          <w:p w14:paraId="13A7BBAF" w14:textId="0D22562B"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8275667" w14:textId="54710A2D" w:rsidTr="000A4757">
        <w:tc>
          <w:tcPr>
            <w:tcW w:w="3855" w:type="pct"/>
            <w:shd w:val="clear" w:color="auto" w:fill="auto"/>
          </w:tcPr>
          <w:p w14:paraId="390A3887" w14:textId="13D1E4BC"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shd w:val="clear" w:color="auto" w:fill="auto"/>
          </w:tcPr>
          <w:p w14:paraId="057F9293" w14:textId="70B8666C"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4EF81044" w14:textId="5EE5725F"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Form (COS) process? (yes/no)</w:t>
      </w:r>
    </w:p>
    <w:p w14:paraId="6C4FBAA6" w14:textId="1B6DC98D" w:rsidR="004B2C2D" w:rsidRPr="00781112" w:rsidRDefault="004B2C2D" w:rsidP="00A80FEB">
      <w:pPr>
        <w:rPr>
          <w:rFonts w:cs="Arial"/>
          <w:color w:val="000000" w:themeColor="text1"/>
          <w:szCs w:val="16"/>
        </w:rPr>
      </w:pPr>
      <w:r w:rsidRPr="00781112">
        <w:rPr>
          <w:rFonts w:cs="Arial"/>
          <w:color w:val="000000" w:themeColor="text1"/>
          <w:szCs w:val="16"/>
        </w:rPr>
        <w:t>YES</w:t>
      </w:r>
    </w:p>
    <w:p w14:paraId="015A471A" w14:textId="77777777" w:rsidR="004611C1" w:rsidRPr="00781112" w:rsidRDefault="004611C1" w:rsidP="00401663">
      <w:pPr>
        <w:rPr>
          <w:rFonts w:cs="Arial"/>
          <w:b/>
          <w:color w:val="000000" w:themeColor="text1"/>
          <w:szCs w:val="16"/>
        </w:rPr>
      </w:pPr>
      <w:bookmarkStart w:id="37" w:name="_Toc382082381"/>
      <w:bookmarkStart w:id="38" w:name="_Toc392159306"/>
      <w:r w:rsidRPr="00781112">
        <w:rPr>
          <w:rFonts w:cs="Arial"/>
          <w:b/>
          <w:color w:val="000000" w:themeColor="text1"/>
          <w:szCs w:val="16"/>
        </w:rPr>
        <w:t>List the instruments and procedures used to gather data for this indicator.</w:t>
      </w:r>
    </w:p>
    <w:p w14:paraId="48A16E25" w14:textId="1F2C8CE0" w:rsidR="009B37A2" w:rsidRPr="00781112" w:rsidRDefault="002B7490" w:rsidP="007D435F">
      <w:pPr>
        <w:rPr>
          <w:rFonts w:cs="Arial"/>
          <w:color w:val="000000" w:themeColor="text1"/>
          <w:szCs w:val="16"/>
        </w:rPr>
      </w:pPr>
      <w:r w:rsidRPr="00781112">
        <w:rPr>
          <w:rFonts w:cs="Arial"/>
          <w:color w:val="000000" w:themeColor="text1"/>
          <w:szCs w:val="16"/>
        </w:rPr>
        <w:t>Program data for this indicator are collected through Oklahoma's online IEP record system, called EDPlan. LEAs use the system to create electronic records for all students with IEPs, including those in early childhood programs. The Child Outcome Summary Form is completed electronically for each child between the ages of three and five years of age if he or she has had at least six months of service. It is SEA practice that personnel first enter the COSF ratings and evaluation information when the student enters their district and again when the child completes his or her preschool program (end of year prior to kindergarten, completion of IEP, or age six, whichever comes first). If a student moves districts between the ages of 3 and 5 (after receiving entry ratings), the district in which the child is enrolled will report the exit ratings. The online IEP system reminds personnel (via warning notices) to enter the data if they neglect to do so in a timely manner.</w:t>
      </w:r>
      <w:r w:rsidRPr="00781112">
        <w:rPr>
          <w:rFonts w:cs="Arial"/>
          <w:color w:val="000000" w:themeColor="text1"/>
          <w:szCs w:val="16"/>
        </w:rPr>
        <w:br/>
      </w:r>
      <w:r w:rsidRPr="00781112">
        <w:rPr>
          <w:rFonts w:cs="Arial"/>
          <w:color w:val="000000" w:themeColor="text1"/>
          <w:szCs w:val="16"/>
        </w:rPr>
        <w:br/>
        <w:t>The data for this indicator are then pulled through reporting functions in the online system and cleaned to ensure that all relevant records are included.</w:t>
      </w:r>
    </w:p>
    <w:p w14:paraId="393ECB24"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215673F" w14:textId="7230C48B" w:rsidR="009B37A2" w:rsidRPr="00781112" w:rsidRDefault="009B37A2" w:rsidP="007D435F">
      <w:pPr>
        <w:rPr>
          <w:rFonts w:cs="Arial"/>
          <w:color w:val="000000" w:themeColor="text1"/>
          <w:szCs w:val="16"/>
        </w:rPr>
      </w:pPr>
    </w:p>
    <w:p w14:paraId="729220FB" w14:textId="2C05A12E" w:rsidR="000A2C83" w:rsidRPr="00781112" w:rsidRDefault="00C96236" w:rsidP="008645AD">
      <w:pPr>
        <w:pStyle w:val="Heading2"/>
      </w:pPr>
      <w:r w:rsidRPr="00781112">
        <w:t>7</w:t>
      </w:r>
      <w:r w:rsidR="00444A9D" w:rsidRPr="00781112">
        <w:t xml:space="preserve"> </w:t>
      </w:r>
      <w:r w:rsidRPr="00781112">
        <w:t xml:space="preserve">- </w:t>
      </w:r>
      <w:r w:rsidR="000A2C83" w:rsidRPr="00781112">
        <w:t>Prior FFY Required Actions</w:t>
      </w:r>
    </w:p>
    <w:p w14:paraId="6B082508" w14:textId="28E3454C" w:rsidR="000A2C83" w:rsidRPr="00781112" w:rsidRDefault="002B7490" w:rsidP="000A2C83">
      <w:pPr>
        <w:rPr>
          <w:rFonts w:cs="Arial"/>
          <w:color w:val="000000" w:themeColor="text1"/>
          <w:szCs w:val="16"/>
        </w:rPr>
      </w:pPr>
      <w:r w:rsidRPr="00781112">
        <w:rPr>
          <w:rFonts w:cs="Arial"/>
          <w:color w:val="000000" w:themeColor="text1"/>
          <w:szCs w:val="16"/>
        </w:rPr>
        <w:t>None</w:t>
      </w:r>
    </w:p>
    <w:p w14:paraId="342951AE" w14:textId="530DEEBF" w:rsidR="00B1280F" w:rsidRPr="00781112" w:rsidRDefault="00B1280F" w:rsidP="000A2C83">
      <w:pPr>
        <w:rPr>
          <w:rFonts w:cs="Arial"/>
          <w:color w:val="000000" w:themeColor="text1"/>
          <w:szCs w:val="16"/>
        </w:rPr>
      </w:pPr>
    </w:p>
    <w:p w14:paraId="311D27F5" w14:textId="36383184"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4844645A" w14:textId="6F051FE6" w:rsidR="00221EC9" w:rsidRPr="00781112" w:rsidRDefault="00C96236" w:rsidP="008645AD">
      <w:pPr>
        <w:pStyle w:val="Heading2"/>
      </w:pPr>
      <w:r w:rsidRPr="00781112">
        <w:t>7 - OSEP Response</w:t>
      </w:r>
    </w:p>
    <w:p w14:paraId="408E3220" w14:textId="3BF99ADA" w:rsidR="009B37A2" w:rsidRPr="00781112" w:rsidRDefault="009B37A2" w:rsidP="001F692C">
      <w:pPr>
        <w:rPr>
          <w:rFonts w:cs="Arial"/>
          <w:color w:val="000000" w:themeColor="text1"/>
          <w:szCs w:val="16"/>
        </w:rPr>
      </w:pPr>
    </w:p>
    <w:p w14:paraId="50C7CF43" w14:textId="32A5B19E" w:rsidR="00221EC9" w:rsidRPr="00781112" w:rsidRDefault="00C96236" w:rsidP="008645AD">
      <w:pPr>
        <w:pStyle w:val="Heading2"/>
      </w:pPr>
      <w:r w:rsidRPr="00781112">
        <w:t>7 - Required Actions</w:t>
      </w:r>
    </w:p>
    <w:p w14:paraId="4FFE0FC1" w14:textId="3673A3A2" w:rsidR="00415684" w:rsidRDefault="00415684" w:rsidP="006D5DC4">
      <w:pPr>
        <w:rPr>
          <w:rFonts w:cs="Arial"/>
          <w:color w:val="000000" w:themeColor="text1"/>
          <w:szCs w:val="16"/>
        </w:rPr>
      </w:pPr>
    </w:p>
    <w:p w14:paraId="0D594D0E" w14:textId="77777777" w:rsidR="00415684" w:rsidRDefault="00415684">
      <w:pPr>
        <w:spacing w:before="0" w:after="200" w:line="276" w:lineRule="auto"/>
        <w:rPr>
          <w:rFonts w:cs="Arial"/>
          <w:color w:val="000000" w:themeColor="text1"/>
          <w:szCs w:val="16"/>
        </w:rPr>
      </w:pPr>
      <w:r>
        <w:rPr>
          <w:rFonts w:cs="Arial"/>
          <w:color w:val="000000" w:themeColor="text1"/>
          <w:szCs w:val="16"/>
        </w:rPr>
        <w:br w:type="page"/>
      </w:r>
    </w:p>
    <w:p w14:paraId="3BCCFF07" w14:textId="13DF3424" w:rsidR="00B3462E" w:rsidRPr="00781112" w:rsidRDefault="00B3462E" w:rsidP="000444E2">
      <w:pPr>
        <w:pStyle w:val="Heading1"/>
        <w:rPr>
          <w:color w:val="000000" w:themeColor="text1"/>
          <w:sz w:val="22"/>
        </w:rPr>
      </w:pPr>
      <w:r w:rsidRPr="00781112">
        <w:rPr>
          <w:color w:val="000000" w:themeColor="text1"/>
          <w:sz w:val="22"/>
        </w:rPr>
        <w:t>Indicator 8: Parent involvement</w:t>
      </w:r>
      <w:bookmarkEnd w:id="37"/>
      <w:bookmarkEnd w:id="38"/>
    </w:p>
    <w:p w14:paraId="66FBCA03" w14:textId="77777777" w:rsidR="00B654C1" w:rsidRPr="00781112" w:rsidRDefault="00B654C1" w:rsidP="00A018D4">
      <w:pPr>
        <w:rPr>
          <w:color w:val="000000" w:themeColor="text1"/>
          <w:szCs w:val="20"/>
        </w:rPr>
      </w:pPr>
      <w:bookmarkStart w:id="39" w:name="_Toc392159307"/>
      <w:r w:rsidRPr="00781112">
        <w:rPr>
          <w:b/>
          <w:color w:val="000000" w:themeColor="text1"/>
          <w:sz w:val="20"/>
          <w:szCs w:val="20"/>
        </w:rPr>
        <w:t>Instructions and Measurement</w:t>
      </w:r>
    </w:p>
    <w:p w14:paraId="42608CC1" w14:textId="182D7AD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90EFEAD"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0D04A075" w14:textId="3BF2EC6D"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59F98396" w14:textId="77777777" w:rsidR="009C613A" w:rsidRPr="00781112" w:rsidRDefault="009C613A" w:rsidP="004369B2">
      <w:pPr>
        <w:rPr>
          <w:color w:val="000000" w:themeColor="text1"/>
        </w:rPr>
      </w:pPr>
      <w:r w:rsidRPr="00781112">
        <w:rPr>
          <w:b/>
          <w:color w:val="000000" w:themeColor="text1"/>
        </w:rPr>
        <w:t>Data Source</w:t>
      </w:r>
    </w:p>
    <w:p w14:paraId="543A03AF" w14:textId="13B8F95C"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50AC2385" w14:textId="77777777" w:rsidR="009C613A" w:rsidRPr="00781112" w:rsidRDefault="009C613A" w:rsidP="004369B2">
      <w:pPr>
        <w:rPr>
          <w:color w:val="000000" w:themeColor="text1"/>
        </w:rPr>
      </w:pPr>
      <w:r w:rsidRPr="00781112">
        <w:rPr>
          <w:b/>
          <w:color w:val="000000" w:themeColor="text1"/>
        </w:rPr>
        <w:t>Measurement</w:t>
      </w:r>
    </w:p>
    <w:p w14:paraId="5E1A0E28" w14:textId="46D6A5D9"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289E0D18" w14:textId="5D04C177" w:rsidR="009C613A" w:rsidRPr="00781112" w:rsidRDefault="009C613A" w:rsidP="004369B2">
      <w:pPr>
        <w:rPr>
          <w:color w:val="000000" w:themeColor="text1"/>
        </w:rPr>
      </w:pPr>
      <w:r w:rsidRPr="00781112">
        <w:rPr>
          <w:b/>
          <w:color w:val="000000" w:themeColor="text1"/>
        </w:rPr>
        <w:t>Instructions</w:t>
      </w:r>
    </w:p>
    <w:p w14:paraId="60A1EAFB" w14:textId="77777777"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on page 2 for additional instructions on sampling.)</w:t>
      </w:r>
    </w:p>
    <w:p w14:paraId="3EC08FBA"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7C56A5AA"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231E5575"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5DC13627"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75233790" w14:textId="6A11D847" w:rsidR="004A6352" w:rsidRPr="00781112" w:rsidRDefault="002D7AD6" w:rsidP="004A6352">
      <w:pPr>
        <w:rPr>
          <w:rFonts w:cs="Arial"/>
          <w:szCs w:val="16"/>
        </w:rPr>
      </w:pPr>
      <w:r w:rsidRPr="00781112">
        <w:rPr>
          <w:rFonts w:cs="Arial"/>
          <w:color w:val="000000" w:themeColor="text1"/>
          <w:szCs w:val="16"/>
        </w:rPr>
        <w:t xml:space="preserve">Report the number of parents to whom the surveys were distributed </w:t>
      </w:r>
      <w:r w:rsidR="004A6352" w:rsidRPr="00781112">
        <w:rPr>
          <w:rFonts w:cs="Arial"/>
          <w:szCs w:val="16"/>
        </w:rPr>
        <w:t>and the number of respondent parents. The survey response rate is automatically calculated using the submitted data.</w:t>
      </w:r>
    </w:p>
    <w:p w14:paraId="4699B320" w14:textId="1251213C" w:rsidR="009C74BD" w:rsidRDefault="009C74BD" w:rsidP="009C74BD">
      <w:pPr>
        <w:rPr>
          <w:rFonts w:cs="Arial"/>
          <w:szCs w:val="16"/>
        </w:rPr>
      </w:pPr>
      <w:r w:rsidRPr="00781112">
        <w:rPr>
          <w:rFonts w:cs="Arial"/>
          <w:szCs w:val="16"/>
        </w:rPr>
        <w:t>States must compare the response rate for the reporting year to the response rate for the previous year (e.g., in the FFY 2021 SPP/APR, compare the FFY 2021 response rate to the FFY 2020 response rate) and describe strategies that will be implemented which are expected to increase the response rate, particularly for those groups that are underrepresented.</w:t>
      </w:r>
    </w:p>
    <w:p w14:paraId="4A1F1567" w14:textId="77777777" w:rsidR="00DF5951" w:rsidRDefault="00DF5951" w:rsidP="009C74BD">
      <w:bookmarkStart w:id="40" w:name="_Hlk116647902"/>
      <w:r w:rsidRPr="006D5DC4">
        <w:rPr>
          <w:b/>
          <w:bCs/>
        </w:rPr>
        <w:t>Beginning with the FFY 2021 SPP/APR, due February 1, 2023,</w:t>
      </w:r>
      <w:r>
        <w:t xml:space="preserve"> include in the State’s analysis the extent to which the demographics of the children for whom parents responded are representative of the demographics of children receiving special education services. States must consider race/ethnicity. In addition, the State’s analysis must also include at least one of the following demographics: age of the student, disability category, gender, geographic location, and/or another demographic category approved through the stakeholder input process. States must describe the metric used to determine representativeness (e.g., +/- 3% discrepancy in the proportion of responders compared to target group). </w:t>
      </w:r>
    </w:p>
    <w:p w14:paraId="64177BBB" w14:textId="77777777" w:rsidR="00DF5951" w:rsidRDefault="00DF5951" w:rsidP="009C74BD">
      <w:r>
        <w:t xml:space="preserve">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 </w:t>
      </w:r>
    </w:p>
    <w:p w14:paraId="4D74BEFB" w14:textId="7AC91DF2" w:rsidR="00DF5951" w:rsidRPr="00781112" w:rsidRDefault="00DF5951" w:rsidP="009C74BD">
      <w:pPr>
        <w:rPr>
          <w:rFonts w:cs="Arial"/>
          <w:szCs w:val="16"/>
        </w:rPr>
      </w:pPr>
      <w:r>
        <w:t>States are encouraged to work in collaboration with their OSEP-funded parent centers in collecting data.</w:t>
      </w:r>
    </w:p>
    <w:bookmarkEnd w:id="40"/>
    <w:p w14:paraId="2EF00B98" w14:textId="1D44A6D0" w:rsidR="000B547A" w:rsidRPr="00781112" w:rsidRDefault="00752BAF" w:rsidP="008645AD">
      <w:pPr>
        <w:pStyle w:val="Heading2"/>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74873645" w14:textId="77777777" w:rsidTr="0033429D">
        <w:trPr>
          <w:tblHeader/>
        </w:trPr>
        <w:tc>
          <w:tcPr>
            <w:tcW w:w="8324" w:type="dxa"/>
          </w:tcPr>
          <w:p w14:paraId="08995901" w14:textId="6A8EBD4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7DF826E5" w14:textId="55897261"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1461C216" w14:textId="7FAEFB03" w:rsidTr="00487CBD">
        <w:trPr>
          <w:trHeight w:val="215"/>
        </w:trPr>
        <w:tc>
          <w:tcPr>
            <w:tcW w:w="8324" w:type="dxa"/>
          </w:tcPr>
          <w:p w14:paraId="443084C1" w14:textId="2A55FAF5"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1B72775" w14:textId="3F895E29" w:rsidR="000B547A" w:rsidRPr="00781112" w:rsidRDefault="002B7490" w:rsidP="00A018D4">
            <w:pPr>
              <w:jc w:val="center"/>
              <w:rPr>
                <w:rFonts w:cs="Arial"/>
                <w:color w:val="000000" w:themeColor="text1"/>
                <w:szCs w:val="16"/>
              </w:rPr>
            </w:pPr>
            <w:r w:rsidRPr="00781112">
              <w:rPr>
                <w:rFonts w:cs="Arial"/>
                <w:color w:val="000000" w:themeColor="text1"/>
                <w:szCs w:val="16"/>
              </w:rPr>
              <w:t>NO</w:t>
            </w:r>
          </w:p>
        </w:tc>
      </w:tr>
    </w:tbl>
    <w:bookmarkEnd w:id="39"/>
    <w:p w14:paraId="4CE8E077" w14:textId="24912129" w:rsidR="00487CBD" w:rsidRPr="00781112" w:rsidRDefault="00487CBD" w:rsidP="00487CBD">
      <w:pPr>
        <w:rPr>
          <w:b/>
          <w:color w:val="000000" w:themeColor="text1"/>
        </w:rPr>
      </w:pPr>
      <w:r w:rsidRPr="00781112">
        <w:rPr>
          <w:b/>
          <w:color w:val="000000" w:themeColor="text1"/>
        </w:rPr>
        <w:t xml:space="preserve">Targets: Description of Stakeholder Input </w:t>
      </w:r>
    </w:p>
    <w:p w14:paraId="71AF2AFF" w14:textId="77777777" w:rsidR="00487CBD" w:rsidRPr="00781112" w:rsidRDefault="00487CBD" w:rsidP="00487CBD">
      <w:pPr>
        <w:rPr>
          <w:rFonts w:cs="Arial"/>
          <w:color w:val="000000" w:themeColor="text1"/>
          <w:szCs w:val="16"/>
        </w:rPr>
      </w:pPr>
    </w:p>
    <w:p w14:paraId="339F3968" w14:textId="6278D154" w:rsidR="008B600B" w:rsidRPr="00781112" w:rsidRDefault="008B600B" w:rsidP="004369B2">
      <w:pPr>
        <w:rPr>
          <w:rFonts w:cs="Arial"/>
          <w:color w:val="000000" w:themeColor="text1"/>
          <w:szCs w:val="16"/>
        </w:rPr>
      </w:pPr>
    </w:p>
    <w:p w14:paraId="39D78FC4" w14:textId="60D247B6" w:rsidR="00ED0065" w:rsidRPr="00781112" w:rsidRDefault="00ED006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8BASELINEDATA"/>
      </w:tblPr>
      <w:tblGrid>
        <w:gridCol w:w="1797"/>
        <w:gridCol w:w="1798"/>
      </w:tblGrid>
      <w:tr w:rsidR="002E111A" w:rsidRPr="00781112" w14:paraId="4FD416E2" w14:textId="77777777" w:rsidTr="00123D76">
        <w:trPr>
          <w:trHeight w:val="311"/>
          <w:tblHeader/>
        </w:trPr>
        <w:tc>
          <w:tcPr>
            <w:tcW w:w="1797" w:type="dxa"/>
          </w:tcPr>
          <w:p w14:paraId="30EEE37E" w14:textId="77777777" w:rsidR="002E111A" w:rsidRPr="00781112" w:rsidRDefault="002E111A" w:rsidP="00123D76">
            <w:pPr>
              <w:jc w:val="center"/>
              <w:rPr>
                <w:b/>
                <w:color w:val="000000" w:themeColor="text1"/>
              </w:rPr>
            </w:pPr>
            <w:r w:rsidRPr="00781112">
              <w:rPr>
                <w:rFonts w:cs="Arial"/>
                <w:b/>
                <w:color w:val="000000" w:themeColor="text1"/>
                <w:szCs w:val="16"/>
              </w:rPr>
              <w:t>Baseline Year</w:t>
            </w:r>
          </w:p>
        </w:tc>
        <w:tc>
          <w:tcPr>
            <w:tcW w:w="1798" w:type="dxa"/>
          </w:tcPr>
          <w:p w14:paraId="579A26EC" w14:textId="77777777" w:rsidR="002E111A" w:rsidRPr="00781112" w:rsidRDefault="002E111A" w:rsidP="00123D76">
            <w:pPr>
              <w:jc w:val="center"/>
              <w:rPr>
                <w:b/>
                <w:color w:val="000000" w:themeColor="text1"/>
              </w:rPr>
            </w:pPr>
            <w:r w:rsidRPr="00781112">
              <w:rPr>
                <w:b/>
                <w:color w:val="000000" w:themeColor="text1"/>
              </w:rPr>
              <w:t>Baseline Data</w:t>
            </w:r>
          </w:p>
        </w:tc>
      </w:tr>
      <w:tr w:rsidR="002E111A" w:rsidRPr="00781112" w14:paraId="7FB18E4F" w14:textId="77777777" w:rsidTr="00123D76">
        <w:trPr>
          <w:trHeight w:val="311"/>
        </w:trPr>
        <w:tc>
          <w:tcPr>
            <w:tcW w:w="1797" w:type="dxa"/>
            <w:vAlign w:val="center"/>
          </w:tcPr>
          <w:p w14:paraId="167EAC34" w14:textId="69ED71A1" w:rsidR="002E111A" w:rsidRPr="00781112" w:rsidRDefault="002E111A" w:rsidP="00123D76">
            <w:pPr>
              <w:jc w:val="center"/>
              <w:rPr>
                <w:bCs/>
                <w:color w:val="000000" w:themeColor="text1"/>
              </w:rPr>
            </w:pPr>
            <w:r w:rsidRPr="00781112">
              <w:rPr>
                <w:bCs/>
                <w:color w:val="000000" w:themeColor="text1"/>
              </w:rPr>
              <w:t>2020</w:t>
            </w:r>
          </w:p>
        </w:tc>
        <w:tc>
          <w:tcPr>
            <w:tcW w:w="1798" w:type="dxa"/>
            <w:vAlign w:val="center"/>
          </w:tcPr>
          <w:p w14:paraId="14A1010A" w14:textId="403EDC7C" w:rsidR="002E111A" w:rsidRPr="00781112" w:rsidRDefault="002E111A" w:rsidP="00123D76">
            <w:pPr>
              <w:jc w:val="center"/>
              <w:rPr>
                <w:bCs/>
                <w:color w:val="000000" w:themeColor="text1"/>
              </w:rPr>
            </w:pPr>
            <w:r w:rsidRPr="00781112">
              <w:rPr>
                <w:bCs/>
                <w:color w:val="000000" w:themeColor="text1"/>
              </w:rPr>
              <w:t>93.71%</w:t>
            </w:r>
          </w:p>
        </w:tc>
      </w:tr>
    </w:tbl>
    <w:p w14:paraId="79684A14" w14:textId="77777777" w:rsidR="002E111A" w:rsidRPr="00781112" w:rsidRDefault="002E111A"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HISTDATAOPT1"/>
      </w:tblPr>
      <w:tblGrid>
        <w:gridCol w:w="1798"/>
        <w:gridCol w:w="1798"/>
        <w:gridCol w:w="1798"/>
        <w:gridCol w:w="1798"/>
        <w:gridCol w:w="1798"/>
        <w:gridCol w:w="1800"/>
      </w:tblGrid>
      <w:tr w:rsidR="005C29F8" w:rsidRPr="00781112" w14:paraId="06FA8C8B" w14:textId="77777777" w:rsidTr="00C40E4D">
        <w:trPr>
          <w:trHeight w:val="287"/>
        </w:trPr>
        <w:tc>
          <w:tcPr>
            <w:tcW w:w="833" w:type="pct"/>
            <w:tcBorders>
              <w:bottom w:val="single" w:sz="4" w:space="0" w:color="auto"/>
            </w:tcBorders>
            <w:shd w:val="clear" w:color="auto" w:fill="auto"/>
          </w:tcPr>
          <w:p w14:paraId="31735078" w14:textId="77777777" w:rsidR="00FB6462" w:rsidRPr="00781112" w:rsidRDefault="00FB6462" w:rsidP="0033429D">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2FE2E19D" w14:textId="1650DFDD" w:rsidR="00FB6462" w:rsidRPr="00781112" w:rsidRDefault="002B7490" w:rsidP="00DC263A">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2DF60B98" w14:textId="1CF7D6BE" w:rsidR="00FB6462" w:rsidRPr="00781112" w:rsidRDefault="002B7490" w:rsidP="00DC263A">
            <w:pPr>
              <w:keepNext/>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53278B9A" w14:textId="6050DB27" w:rsidR="00FB6462" w:rsidRPr="00781112" w:rsidRDefault="002B7490" w:rsidP="00DC263A">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2F23746E" w14:textId="403244A2" w:rsidR="00FB6462" w:rsidRPr="00781112" w:rsidRDefault="002B7490" w:rsidP="00DC263A">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14:paraId="7E365F7F" w14:textId="686F85A1" w:rsidR="00FB6462" w:rsidRPr="00781112" w:rsidRDefault="002B7490" w:rsidP="00DC263A">
            <w:pPr>
              <w:jc w:val="center"/>
              <w:rPr>
                <w:rFonts w:cs="Arial"/>
                <w:b/>
                <w:color w:val="000000" w:themeColor="text1"/>
                <w:szCs w:val="16"/>
              </w:rPr>
            </w:pPr>
            <w:r w:rsidRPr="00781112">
              <w:rPr>
                <w:rFonts w:cs="Arial"/>
                <w:b/>
                <w:color w:val="000000" w:themeColor="text1"/>
                <w:szCs w:val="16"/>
              </w:rPr>
              <w:t>2020</w:t>
            </w:r>
          </w:p>
        </w:tc>
      </w:tr>
      <w:tr w:rsidR="005C29F8" w:rsidRPr="00781112" w14:paraId="040D0378" w14:textId="77777777" w:rsidTr="00C40E4D">
        <w:trPr>
          <w:trHeight w:val="357"/>
        </w:trPr>
        <w:tc>
          <w:tcPr>
            <w:tcW w:w="833" w:type="pct"/>
            <w:shd w:val="clear" w:color="auto" w:fill="auto"/>
          </w:tcPr>
          <w:p w14:paraId="54EE5848" w14:textId="7260CA74" w:rsidR="00FB6462" w:rsidRPr="00781112" w:rsidRDefault="00FB6462" w:rsidP="005A338D">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56BDAD4D" w14:textId="1C7EF6C0" w:rsidR="00FB6462" w:rsidRPr="00781112" w:rsidRDefault="002B7490" w:rsidP="00A018D4">
            <w:pPr>
              <w:jc w:val="center"/>
              <w:rPr>
                <w:rFonts w:cs="Arial"/>
                <w:color w:val="000000" w:themeColor="text1"/>
                <w:szCs w:val="16"/>
              </w:rPr>
            </w:pPr>
            <w:r w:rsidRPr="00781112">
              <w:rPr>
                <w:rFonts w:cs="Arial"/>
                <w:color w:val="000000" w:themeColor="text1"/>
                <w:szCs w:val="16"/>
              </w:rPr>
              <w:t>90.50%</w:t>
            </w:r>
          </w:p>
        </w:tc>
        <w:tc>
          <w:tcPr>
            <w:tcW w:w="833" w:type="pct"/>
            <w:shd w:val="clear" w:color="auto" w:fill="auto"/>
          </w:tcPr>
          <w:p w14:paraId="45AE596F" w14:textId="6983147C" w:rsidR="00FB6462" w:rsidRPr="00781112" w:rsidRDefault="002B7490" w:rsidP="00A018D4">
            <w:pPr>
              <w:jc w:val="center"/>
              <w:rPr>
                <w:rFonts w:cs="Arial"/>
                <w:color w:val="000000" w:themeColor="text1"/>
                <w:szCs w:val="16"/>
              </w:rPr>
            </w:pPr>
            <w:r w:rsidRPr="00781112">
              <w:rPr>
                <w:rFonts w:cs="Arial"/>
                <w:color w:val="000000" w:themeColor="text1"/>
                <w:szCs w:val="16"/>
              </w:rPr>
              <w:t>91.75%</w:t>
            </w:r>
          </w:p>
        </w:tc>
        <w:tc>
          <w:tcPr>
            <w:tcW w:w="833" w:type="pct"/>
            <w:shd w:val="clear" w:color="auto" w:fill="auto"/>
            <w:vAlign w:val="center"/>
          </w:tcPr>
          <w:p w14:paraId="4CA9D7D5" w14:textId="26724736" w:rsidR="00FB6462" w:rsidRPr="00781112" w:rsidRDefault="002B7490" w:rsidP="00A018D4">
            <w:pPr>
              <w:jc w:val="center"/>
              <w:rPr>
                <w:rFonts w:cs="Arial"/>
                <w:color w:val="000000" w:themeColor="text1"/>
                <w:szCs w:val="16"/>
              </w:rPr>
            </w:pPr>
            <w:r w:rsidRPr="00781112">
              <w:rPr>
                <w:rFonts w:cs="Arial"/>
                <w:color w:val="000000" w:themeColor="text1"/>
                <w:szCs w:val="16"/>
              </w:rPr>
              <w:t>93.00%</w:t>
            </w:r>
          </w:p>
        </w:tc>
        <w:tc>
          <w:tcPr>
            <w:tcW w:w="833" w:type="pct"/>
            <w:shd w:val="clear" w:color="auto" w:fill="auto"/>
            <w:vAlign w:val="center"/>
          </w:tcPr>
          <w:p w14:paraId="2AC9DE6C" w14:textId="662D879E" w:rsidR="00FB6462" w:rsidRPr="00781112" w:rsidRDefault="002B7490" w:rsidP="00A018D4">
            <w:pPr>
              <w:jc w:val="center"/>
              <w:rPr>
                <w:rFonts w:cs="Arial"/>
                <w:color w:val="000000" w:themeColor="text1"/>
                <w:szCs w:val="16"/>
              </w:rPr>
            </w:pPr>
            <w:r w:rsidRPr="00781112">
              <w:rPr>
                <w:rFonts w:cs="Arial"/>
                <w:color w:val="000000" w:themeColor="text1"/>
                <w:szCs w:val="16"/>
              </w:rPr>
              <w:t>93.00%</w:t>
            </w:r>
          </w:p>
        </w:tc>
        <w:tc>
          <w:tcPr>
            <w:tcW w:w="834" w:type="pct"/>
            <w:shd w:val="clear" w:color="auto" w:fill="auto"/>
            <w:vAlign w:val="center"/>
          </w:tcPr>
          <w:p w14:paraId="1D66991F" w14:textId="5308C1A9" w:rsidR="00FB6462" w:rsidRPr="00781112" w:rsidRDefault="002B7490" w:rsidP="00A018D4">
            <w:pPr>
              <w:jc w:val="center"/>
              <w:rPr>
                <w:rFonts w:cs="Arial"/>
                <w:color w:val="000000" w:themeColor="text1"/>
                <w:szCs w:val="16"/>
              </w:rPr>
            </w:pPr>
            <w:r w:rsidRPr="00781112">
              <w:rPr>
                <w:rFonts w:cs="Arial"/>
                <w:color w:val="000000" w:themeColor="text1"/>
                <w:szCs w:val="16"/>
              </w:rPr>
              <w:t>93.70%</w:t>
            </w:r>
          </w:p>
        </w:tc>
      </w:tr>
      <w:tr w:rsidR="005C29F8" w:rsidRPr="00781112" w14:paraId="0983C602" w14:textId="77777777" w:rsidTr="00C40E4D">
        <w:trPr>
          <w:trHeight w:val="85"/>
        </w:trPr>
        <w:tc>
          <w:tcPr>
            <w:tcW w:w="833" w:type="pct"/>
            <w:shd w:val="clear" w:color="auto" w:fill="auto"/>
          </w:tcPr>
          <w:p w14:paraId="024AD7D5" w14:textId="77777777" w:rsidR="00FB6462" w:rsidRPr="00781112" w:rsidRDefault="00FB6462" w:rsidP="005A338D">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0C46B390" w14:textId="75A5B1D9" w:rsidR="00FB6462" w:rsidRPr="00781112" w:rsidRDefault="002B7490" w:rsidP="00A018D4">
            <w:pPr>
              <w:jc w:val="center"/>
              <w:rPr>
                <w:rFonts w:cs="Arial"/>
                <w:color w:val="000000" w:themeColor="text1"/>
                <w:szCs w:val="16"/>
              </w:rPr>
            </w:pPr>
            <w:r w:rsidRPr="00781112">
              <w:rPr>
                <w:rFonts w:cs="Arial"/>
                <w:color w:val="000000" w:themeColor="text1"/>
                <w:szCs w:val="16"/>
              </w:rPr>
              <w:t>97.24%</w:t>
            </w:r>
          </w:p>
        </w:tc>
        <w:tc>
          <w:tcPr>
            <w:tcW w:w="833" w:type="pct"/>
            <w:shd w:val="clear" w:color="auto" w:fill="auto"/>
          </w:tcPr>
          <w:p w14:paraId="0F636319" w14:textId="7C4BA9E9" w:rsidR="00FB6462" w:rsidRPr="00781112" w:rsidRDefault="002B7490" w:rsidP="00A018D4">
            <w:pPr>
              <w:jc w:val="center"/>
              <w:rPr>
                <w:rFonts w:cs="Arial"/>
                <w:color w:val="000000" w:themeColor="text1"/>
                <w:szCs w:val="16"/>
              </w:rPr>
            </w:pPr>
            <w:r w:rsidRPr="00781112">
              <w:rPr>
                <w:rFonts w:cs="Arial"/>
                <w:color w:val="000000" w:themeColor="text1"/>
                <w:szCs w:val="16"/>
              </w:rPr>
              <w:t>98.38%</w:t>
            </w:r>
          </w:p>
        </w:tc>
        <w:tc>
          <w:tcPr>
            <w:tcW w:w="833" w:type="pct"/>
            <w:tcBorders>
              <w:bottom w:val="single" w:sz="4" w:space="0" w:color="auto"/>
            </w:tcBorders>
            <w:shd w:val="clear" w:color="auto" w:fill="auto"/>
            <w:vAlign w:val="center"/>
          </w:tcPr>
          <w:p w14:paraId="72DD8100" w14:textId="2078A0DC" w:rsidR="00FB6462" w:rsidRPr="00781112" w:rsidRDefault="002B7490" w:rsidP="00A018D4">
            <w:pPr>
              <w:jc w:val="center"/>
              <w:rPr>
                <w:rFonts w:cs="Arial"/>
                <w:color w:val="000000" w:themeColor="text1"/>
                <w:szCs w:val="16"/>
              </w:rPr>
            </w:pPr>
            <w:r w:rsidRPr="00781112">
              <w:rPr>
                <w:rFonts w:cs="Arial"/>
                <w:color w:val="000000" w:themeColor="text1"/>
                <w:szCs w:val="16"/>
              </w:rPr>
              <w:t>98.66%</w:t>
            </w:r>
          </w:p>
        </w:tc>
        <w:tc>
          <w:tcPr>
            <w:tcW w:w="833" w:type="pct"/>
            <w:tcBorders>
              <w:bottom w:val="single" w:sz="4" w:space="0" w:color="auto"/>
            </w:tcBorders>
            <w:shd w:val="clear" w:color="auto" w:fill="auto"/>
            <w:vAlign w:val="center"/>
          </w:tcPr>
          <w:p w14:paraId="36AAC02B" w14:textId="31D6381A" w:rsidR="00FB6462" w:rsidRPr="00781112" w:rsidRDefault="002B7490" w:rsidP="00A018D4">
            <w:pPr>
              <w:jc w:val="center"/>
              <w:rPr>
                <w:rFonts w:cs="Arial"/>
                <w:color w:val="000000" w:themeColor="text1"/>
                <w:szCs w:val="16"/>
              </w:rPr>
            </w:pPr>
            <w:r w:rsidRPr="00781112">
              <w:rPr>
                <w:rFonts w:cs="Arial"/>
                <w:color w:val="000000" w:themeColor="text1"/>
                <w:szCs w:val="16"/>
              </w:rPr>
              <w:t>98.02%</w:t>
            </w:r>
          </w:p>
        </w:tc>
        <w:tc>
          <w:tcPr>
            <w:tcW w:w="834" w:type="pct"/>
            <w:tcBorders>
              <w:bottom w:val="single" w:sz="4" w:space="0" w:color="auto"/>
            </w:tcBorders>
            <w:shd w:val="clear" w:color="auto" w:fill="auto"/>
            <w:vAlign w:val="center"/>
          </w:tcPr>
          <w:p w14:paraId="4F9B07B7" w14:textId="7D67594F" w:rsidR="00FB6462" w:rsidRPr="00781112" w:rsidRDefault="002B7490" w:rsidP="00A018D4">
            <w:pPr>
              <w:jc w:val="center"/>
              <w:rPr>
                <w:rFonts w:cs="Arial"/>
                <w:color w:val="000000" w:themeColor="text1"/>
                <w:szCs w:val="16"/>
              </w:rPr>
            </w:pPr>
            <w:r w:rsidRPr="00781112">
              <w:rPr>
                <w:rFonts w:cs="Arial"/>
                <w:color w:val="000000" w:themeColor="text1"/>
                <w:szCs w:val="16"/>
              </w:rPr>
              <w:t>93.71%</w:t>
            </w:r>
          </w:p>
        </w:tc>
      </w:tr>
    </w:tbl>
    <w:p w14:paraId="0E2D4617" w14:textId="77777777" w:rsidR="000417B4" w:rsidRPr="00781112" w:rsidRDefault="000417B4" w:rsidP="004369B2">
      <w:pPr>
        <w:rPr>
          <w:color w:val="000000" w:themeColor="text1"/>
        </w:rPr>
      </w:pPr>
    </w:p>
    <w:p w14:paraId="1F4FFBFE" w14:textId="308C372B" w:rsidR="00FB6462" w:rsidRPr="00781112" w:rsidRDefault="00FB6462" w:rsidP="004369B2">
      <w:pPr>
        <w:rPr>
          <w:color w:val="000000" w:themeColor="text1"/>
        </w:rPr>
      </w:pPr>
      <w:r w:rsidRPr="00781112">
        <w:rPr>
          <w:b/>
          <w:color w:val="000000" w:themeColor="text1"/>
        </w:rPr>
        <w:t>Targets</w:t>
      </w:r>
    </w:p>
    <w:tbl>
      <w:tblPr>
        <w:tblW w:w="4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1"/>
      </w:tblPr>
      <w:tblGrid>
        <w:gridCol w:w="898"/>
        <w:gridCol w:w="1650"/>
        <w:gridCol w:w="1651"/>
        <w:gridCol w:w="1651"/>
        <w:gridCol w:w="1651"/>
        <w:gridCol w:w="1649"/>
      </w:tblGrid>
      <w:tr w:rsidR="00B14519" w:rsidRPr="00781112" w14:paraId="77450D85" w14:textId="217C23D8" w:rsidTr="00451D7E">
        <w:trPr>
          <w:trHeight w:val="242"/>
        </w:trPr>
        <w:tc>
          <w:tcPr>
            <w:tcW w:w="491" w:type="pct"/>
            <w:tcBorders>
              <w:bottom w:val="single" w:sz="4" w:space="0" w:color="auto"/>
            </w:tcBorders>
            <w:shd w:val="clear" w:color="auto" w:fill="auto"/>
            <w:vAlign w:val="center"/>
          </w:tcPr>
          <w:p w14:paraId="5A82FAC4" w14:textId="77777777" w:rsidR="00B14519" w:rsidRPr="003F088A" w:rsidRDefault="00B14519" w:rsidP="00AD5583">
            <w:pPr>
              <w:jc w:val="center"/>
              <w:rPr>
                <w:rFonts w:cs="Arial"/>
                <w:b/>
                <w:color w:val="000000" w:themeColor="text1"/>
                <w:szCs w:val="16"/>
              </w:rPr>
            </w:pPr>
            <w:r w:rsidRPr="003F088A">
              <w:rPr>
                <w:rFonts w:cs="Arial"/>
                <w:b/>
                <w:color w:val="000000" w:themeColor="text1"/>
                <w:szCs w:val="16"/>
              </w:rPr>
              <w:t>FFY</w:t>
            </w:r>
          </w:p>
        </w:tc>
        <w:tc>
          <w:tcPr>
            <w:tcW w:w="902" w:type="pct"/>
            <w:shd w:val="clear" w:color="auto" w:fill="auto"/>
            <w:vAlign w:val="center"/>
          </w:tcPr>
          <w:p w14:paraId="6DDB1395" w14:textId="489E70A4" w:rsidR="00B14519" w:rsidRPr="003F088A" w:rsidRDefault="00B14519" w:rsidP="00AD5583">
            <w:pPr>
              <w:jc w:val="center"/>
              <w:rPr>
                <w:rFonts w:cs="Arial"/>
                <w:b/>
                <w:color w:val="000000" w:themeColor="text1"/>
                <w:szCs w:val="16"/>
              </w:rPr>
            </w:pPr>
            <w:r w:rsidRPr="003F088A">
              <w:rPr>
                <w:rFonts w:cs="Arial"/>
                <w:b/>
                <w:color w:val="000000" w:themeColor="text1"/>
                <w:szCs w:val="16"/>
              </w:rPr>
              <w:t>2021</w:t>
            </w:r>
          </w:p>
        </w:tc>
        <w:tc>
          <w:tcPr>
            <w:tcW w:w="902" w:type="pct"/>
            <w:vAlign w:val="center"/>
          </w:tcPr>
          <w:p w14:paraId="3277D8E8" w14:textId="4A05E6F6" w:rsidR="00B14519" w:rsidRPr="003F088A" w:rsidRDefault="00B14519" w:rsidP="00730C62">
            <w:pPr>
              <w:jc w:val="center"/>
              <w:rPr>
                <w:rFonts w:cs="Arial"/>
                <w:b/>
                <w:color w:val="000000" w:themeColor="text1"/>
                <w:szCs w:val="16"/>
              </w:rPr>
            </w:pPr>
            <w:r w:rsidRPr="00781112">
              <w:rPr>
                <w:rFonts w:cs="Arial"/>
                <w:b/>
                <w:color w:val="000000" w:themeColor="text1"/>
                <w:szCs w:val="16"/>
              </w:rPr>
              <w:t>2022</w:t>
            </w:r>
          </w:p>
        </w:tc>
        <w:tc>
          <w:tcPr>
            <w:tcW w:w="902" w:type="pct"/>
            <w:vAlign w:val="center"/>
          </w:tcPr>
          <w:p w14:paraId="3AC9106D" w14:textId="5F7A56D0" w:rsidR="00B14519" w:rsidRPr="003F088A" w:rsidRDefault="00B14519" w:rsidP="00730C62">
            <w:pPr>
              <w:jc w:val="center"/>
              <w:rPr>
                <w:rFonts w:cs="Arial"/>
                <w:b/>
                <w:color w:val="000000" w:themeColor="text1"/>
                <w:szCs w:val="16"/>
              </w:rPr>
            </w:pPr>
            <w:r w:rsidRPr="00781112">
              <w:rPr>
                <w:rFonts w:cs="Arial"/>
                <w:b/>
                <w:color w:val="000000" w:themeColor="text1"/>
                <w:szCs w:val="16"/>
              </w:rPr>
              <w:t>2023</w:t>
            </w:r>
          </w:p>
        </w:tc>
        <w:tc>
          <w:tcPr>
            <w:tcW w:w="902" w:type="pct"/>
            <w:vAlign w:val="center"/>
          </w:tcPr>
          <w:p w14:paraId="4E87FEC3" w14:textId="73615588" w:rsidR="00B14519" w:rsidRPr="003F088A" w:rsidRDefault="00B14519" w:rsidP="00730C62">
            <w:pPr>
              <w:jc w:val="center"/>
              <w:rPr>
                <w:rFonts w:cs="Arial"/>
                <w:b/>
                <w:color w:val="000000" w:themeColor="text1"/>
                <w:szCs w:val="16"/>
              </w:rPr>
            </w:pPr>
            <w:r w:rsidRPr="00781112">
              <w:rPr>
                <w:rFonts w:cs="Arial"/>
                <w:b/>
                <w:color w:val="000000" w:themeColor="text1"/>
                <w:szCs w:val="16"/>
              </w:rPr>
              <w:t>2024</w:t>
            </w:r>
          </w:p>
        </w:tc>
        <w:tc>
          <w:tcPr>
            <w:tcW w:w="902" w:type="pct"/>
            <w:vAlign w:val="center"/>
          </w:tcPr>
          <w:p w14:paraId="52455E86" w14:textId="781B38CA" w:rsidR="00B14519" w:rsidRPr="003F088A" w:rsidRDefault="00B14519" w:rsidP="00730C62">
            <w:pPr>
              <w:jc w:val="center"/>
              <w:rPr>
                <w:rFonts w:cs="Arial"/>
                <w:b/>
                <w:color w:val="000000" w:themeColor="text1"/>
                <w:szCs w:val="16"/>
              </w:rPr>
            </w:pPr>
            <w:r w:rsidRPr="00781112">
              <w:rPr>
                <w:rFonts w:cs="Arial"/>
                <w:b/>
                <w:color w:val="000000" w:themeColor="text1"/>
                <w:szCs w:val="16"/>
              </w:rPr>
              <w:t>2025</w:t>
            </w:r>
          </w:p>
        </w:tc>
      </w:tr>
      <w:tr w:rsidR="00B14519" w:rsidRPr="00781112" w14:paraId="50A2A35E" w14:textId="13C4D5C2" w:rsidTr="00451D7E">
        <w:trPr>
          <w:trHeight w:val="370"/>
        </w:trPr>
        <w:tc>
          <w:tcPr>
            <w:tcW w:w="491" w:type="pct"/>
            <w:shd w:val="clear" w:color="auto" w:fill="auto"/>
          </w:tcPr>
          <w:p w14:paraId="2F249DEE" w14:textId="4AA3473F" w:rsidR="00B14519" w:rsidRPr="00781112" w:rsidRDefault="00B14519" w:rsidP="00AD5583">
            <w:pPr>
              <w:rPr>
                <w:rFonts w:cs="Arial"/>
                <w:color w:val="000000" w:themeColor="text1"/>
                <w:szCs w:val="16"/>
              </w:rPr>
            </w:pPr>
            <w:r w:rsidRPr="00781112">
              <w:rPr>
                <w:rFonts w:cs="Arial"/>
                <w:color w:val="000000" w:themeColor="text1"/>
                <w:szCs w:val="16"/>
              </w:rPr>
              <w:t>Target &gt;=</w:t>
            </w:r>
          </w:p>
        </w:tc>
        <w:tc>
          <w:tcPr>
            <w:tcW w:w="902" w:type="pct"/>
            <w:shd w:val="clear" w:color="auto" w:fill="auto"/>
            <w:vAlign w:val="center"/>
          </w:tcPr>
          <w:p w14:paraId="2ACB7B9E" w14:textId="427B5E78" w:rsidR="00B14519" w:rsidRPr="00781112" w:rsidRDefault="00B14519" w:rsidP="00AD5583">
            <w:pPr>
              <w:jc w:val="center"/>
              <w:rPr>
                <w:rFonts w:cs="Arial"/>
                <w:color w:val="000000" w:themeColor="text1"/>
                <w:szCs w:val="16"/>
              </w:rPr>
            </w:pPr>
            <w:r w:rsidRPr="00781112">
              <w:rPr>
                <w:rFonts w:cs="Arial"/>
                <w:color w:val="000000" w:themeColor="text1"/>
                <w:szCs w:val="16"/>
              </w:rPr>
              <w:t>94.00%</w:t>
            </w:r>
          </w:p>
        </w:tc>
        <w:tc>
          <w:tcPr>
            <w:tcW w:w="902" w:type="pct"/>
          </w:tcPr>
          <w:p w14:paraId="01493DF6" w14:textId="39FAD961" w:rsidR="00B14519" w:rsidRPr="00781112" w:rsidRDefault="00B14519" w:rsidP="00AD5583">
            <w:pPr>
              <w:spacing w:before="0" w:after="200" w:line="276" w:lineRule="auto"/>
            </w:pPr>
            <w:r w:rsidRPr="00781112">
              <w:rPr>
                <w:color w:val="000000" w:themeColor="text1"/>
                <w:szCs w:val="16"/>
              </w:rPr>
              <w:t>94.00%</w:t>
            </w:r>
          </w:p>
        </w:tc>
        <w:tc>
          <w:tcPr>
            <w:tcW w:w="902" w:type="pct"/>
          </w:tcPr>
          <w:p w14:paraId="71DAA89B" w14:textId="5FDD553A" w:rsidR="00B14519" w:rsidRPr="00781112" w:rsidRDefault="00B14519" w:rsidP="00AD5583">
            <w:pPr>
              <w:spacing w:before="0" w:after="200" w:line="276" w:lineRule="auto"/>
            </w:pPr>
            <w:r w:rsidRPr="00781112">
              <w:rPr>
                <w:color w:val="000000" w:themeColor="text1"/>
                <w:szCs w:val="16"/>
              </w:rPr>
              <w:t>94.00%</w:t>
            </w:r>
          </w:p>
        </w:tc>
        <w:tc>
          <w:tcPr>
            <w:tcW w:w="902" w:type="pct"/>
          </w:tcPr>
          <w:p w14:paraId="6C8342E2" w14:textId="3FBC30A4" w:rsidR="00B14519" w:rsidRPr="00781112" w:rsidRDefault="00B14519" w:rsidP="00AD5583">
            <w:pPr>
              <w:spacing w:before="0" w:after="200" w:line="276" w:lineRule="auto"/>
            </w:pPr>
            <w:r w:rsidRPr="00781112">
              <w:rPr>
                <w:color w:val="000000" w:themeColor="text1"/>
                <w:szCs w:val="16"/>
              </w:rPr>
              <w:t>94.00%</w:t>
            </w:r>
          </w:p>
        </w:tc>
        <w:tc>
          <w:tcPr>
            <w:tcW w:w="902" w:type="pct"/>
          </w:tcPr>
          <w:p w14:paraId="02A9D828" w14:textId="4D6EC210" w:rsidR="00B14519" w:rsidRPr="00781112" w:rsidRDefault="00B14519" w:rsidP="00AD5583">
            <w:pPr>
              <w:spacing w:before="0" w:after="200" w:line="276" w:lineRule="auto"/>
            </w:pPr>
            <w:r w:rsidRPr="00781112">
              <w:rPr>
                <w:color w:val="000000" w:themeColor="text1"/>
                <w:szCs w:val="16"/>
              </w:rPr>
              <w:t>94.00%</w:t>
            </w:r>
          </w:p>
        </w:tc>
      </w:tr>
    </w:tbl>
    <w:p w14:paraId="68BCE5ED" w14:textId="77777777" w:rsidR="007E2779" w:rsidRPr="00781112" w:rsidRDefault="007E2779" w:rsidP="000A2C83">
      <w:pPr>
        <w:rPr>
          <w:rFonts w:cs="Arial"/>
          <w:color w:val="000000" w:themeColor="text1"/>
          <w:szCs w:val="16"/>
        </w:rPr>
      </w:pPr>
    </w:p>
    <w:p w14:paraId="15954908" w14:textId="0AB73F14" w:rsidR="00FB6462" w:rsidRPr="00781112" w:rsidRDefault="0047313F" w:rsidP="004369B2">
      <w:pPr>
        <w:rPr>
          <w:color w:val="000000" w:themeColor="text1"/>
        </w:rPr>
      </w:pPr>
      <w:r>
        <w:rPr>
          <w:b/>
          <w:color w:val="000000" w:themeColor="text1"/>
        </w:rPr>
        <w:t>FFY 2021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CFFYAPRDATAOPT1"/>
      </w:tblPr>
      <w:tblGrid>
        <w:gridCol w:w="2686"/>
        <w:gridCol w:w="15"/>
        <w:gridCol w:w="1440"/>
        <w:gridCol w:w="1170"/>
        <w:gridCol w:w="1440"/>
        <w:gridCol w:w="1170"/>
        <w:gridCol w:w="1349"/>
        <w:gridCol w:w="1524"/>
      </w:tblGrid>
      <w:tr w:rsidR="00206A65" w:rsidRPr="00781112" w14:paraId="2A3467FD" w14:textId="77777777" w:rsidTr="00AB0D6A">
        <w:trPr>
          <w:trHeight w:val="368"/>
          <w:tblHeader/>
        </w:trPr>
        <w:tc>
          <w:tcPr>
            <w:tcW w:w="1244" w:type="pct"/>
            <w:shd w:val="clear" w:color="auto" w:fill="auto"/>
            <w:vAlign w:val="bottom"/>
          </w:tcPr>
          <w:p w14:paraId="1B1F6FBB" w14:textId="77777777" w:rsidR="00206A65" w:rsidRPr="00781112" w:rsidRDefault="00206A65" w:rsidP="00206A65">
            <w:pPr>
              <w:jc w:val="center"/>
              <w:rPr>
                <w:b/>
                <w:color w:val="000000" w:themeColor="text1"/>
              </w:rPr>
            </w:pPr>
            <w:r w:rsidRPr="00781112">
              <w:rPr>
                <w:b/>
                <w:color w:val="000000" w:themeColor="text1"/>
              </w:rPr>
              <w:t>Number of respondent parents who report schools facilitated parent involvement as a means of improving services and results for children with disabilities</w:t>
            </w:r>
          </w:p>
        </w:tc>
        <w:tc>
          <w:tcPr>
            <w:tcW w:w="674" w:type="pct"/>
            <w:gridSpan w:val="2"/>
            <w:shd w:val="clear" w:color="auto" w:fill="auto"/>
            <w:vAlign w:val="bottom"/>
          </w:tcPr>
          <w:p w14:paraId="200E18C6" w14:textId="77777777" w:rsidR="00206A65" w:rsidRPr="00781112" w:rsidRDefault="00206A65" w:rsidP="00206A65">
            <w:pPr>
              <w:jc w:val="center"/>
              <w:rPr>
                <w:b/>
                <w:color w:val="000000" w:themeColor="text1"/>
              </w:rPr>
            </w:pPr>
            <w:r w:rsidRPr="00781112">
              <w:rPr>
                <w:b/>
                <w:color w:val="000000" w:themeColor="text1"/>
              </w:rPr>
              <w:t>Total number of respondent parents of children with disabilities</w:t>
            </w:r>
          </w:p>
        </w:tc>
        <w:tc>
          <w:tcPr>
            <w:tcW w:w="542" w:type="pct"/>
            <w:shd w:val="clear" w:color="auto" w:fill="auto"/>
            <w:vAlign w:val="bottom"/>
          </w:tcPr>
          <w:p w14:paraId="57D9347A" w14:textId="32FBABFF" w:rsidR="00206A65" w:rsidRPr="00CC1061" w:rsidRDefault="00206A65" w:rsidP="00206A65">
            <w:pPr>
              <w:jc w:val="center"/>
              <w:rPr>
                <w:b/>
                <w:bCs/>
                <w:color w:val="000000" w:themeColor="text1"/>
              </w:rPr>
            </w:pPr>
            <w:r w:rsidRPr="00CC1061">
              <w:rPr>
                <w:b/>
                <w:bCs/>
              </w:rPr>
              <w:t>FFY 2020 Data</w:t>
            </w:r>
          </w:p>
        </w:tc>
        <w:tc>
          <w:tcPr>
            <w:tcW w:w="667" w:type="pct"/>
            <w:shd w:val="clear" w:color="auto" w:fill="auto"/>
            <w:vAlign w:val="bottom"/>
          </w:tcPr>
          <w:p w14:paraId="42BF1046" w14:textId="7C022548" w:rsidR="00206A65" w:rsidRPr="00CC1061" w:rsidRDefault="00206A65" w:rsidP="00206A65">
            <w:pPr>
              <w:jc w:val="center"/>
              <w:rPr>
                <w:b/>
                <w:bCs/>
                <w:color w:val="000000" w:themeColor="text1"/>
              </w:rPr>
            </w:pPr>
            <w:r w:rsidRPr="00CC1061">
              <w:rPr>
                <w:b/>
                <w:bCs/>
              </w:rPr>
              <w:t>FFY 2021 Target</w:t>
            </w:r>
          </w:p>
        </w:tc>
        <w:tc>
          <w:tcPr>
            <w:tcW w:w="542" w:type="pct"/>
            <w:shd w:val="clear" w:color="auto" w:fill="auto"/>
            <w:vAlign w:val="bottom"/>
          </w:tcPr>
          <w:p w14:paraId="36E0331C" w14:textId="795D3E94" w:rsidR="00206A65" w:rsidRPr="00CC1061" w:rsidRDefault="00206A65" w:rsidP="00206A65">
            <w:pPr>
              <w:jc w:val="center"/>
              <w:rPr>
                <w:b/>
                <w:bCs/>
                <w:color w:val="000000" w:themeColor="text1"/>
              </w:rPr>
            </w:pPr>
            <w:r w:rsidRPr="00CC1061">
              <w:rPr>
                <w:b/>
                <w:bCs/>
              </w:rPr>
              <w:t>FFY 2021 Data</w:t>
            </w:r>
          </w:p>
        </w:tc>
        <w:tc>
          <w:tcPr>
            <w:tcW w:w="625" w:type="pct"/>
            <w:shd w:val="clear" w:color="auto" w:fill="auto"/>
            <w:vAlign w:val="bottom"/>
          </w:tcPr>
          <w:p w14:paraId="52157F4E" w14:textId="77777777" w:rsidR="00206A65" w:rsidRPr="00781112" w:rsidRDefault="00206A65" w:rsidP="00206A65">
            <w:pPr>
              <w:jc w:val="center"/>
              <w:rPr>
                <w:b/>
                <w:color w:val="000000" w:themeColor="text1"/>
              </w:rPr>
            </w:pPr>
            <w:r w:rsidRPr="00781112">
              <w:rPr>
                <w:b/>
                <w:color w:val="000000" w:themeColor="text1"/>
              </w:rPr>
              <w:t>Status</w:t>
            </w:r>
          </w:p>
        </w:tc>
        <w:tc>
          <w:tcPr>
            <w:tcW w:w="706" w:type="pct"/>
            <w:shd w:val="clear" w:color="auto" w:fill="auto"/>
            <w:vAlign w:val="bottom"/>
          </w:tcPr>
          <w:p w14:paraId="1DC1ADC7" w14:textId="77777777"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4B4B0594" w14:textId="77777777" w:rsidTr="00AB0D6A">
        <w:trPr>
          <w:trHeight w:val="366"/>
        </w:trPr>
        <w:tc>
          <w:tcPr>
            <w:tcW w:w="1251" w:type="pct"/>
            <w:gridSpan w:val="2"/>
            <w:shd w:val="clear" w:color="auto" w:fill="auto"/>
            <w:vAlign w:val="bottom"/>
          </w:tcPr>
          <w:p w14:paraId="0933F330" w14:textId="2423D9E2" w:rsidR="00FB6462" w:rsidRPr="00781112" w:rsidRDefault="002B7490" w:rsidP="00A018D4">
            <w:pPr>
              <w:jc w:val="center"/>
              <w:rPr>
                <w:rFonts w:cs="Arial"/>
                <w:color w:val="000000" w:themeColor="text1"/>
                <w:szCs w:val="16"/>
              </w:rPr>
            </w:pPr>
            <w:r w:rsidRPr="00781112">
              <w:rPr>
                <w:rFonts w:cs="Arial"/>
                <w:color w:val="000000" w:themeColor="text1"/>
                <w:szCs w:val="16"/>
              </w:rPr>
              <w:t>9,941</w:t>
            </w:r>
          </w:p>
        </w:tc>
        <w:tc>
          <w:tcPr>
            <w:tcW w:w="667" w:type="pct"/>
            <w:shd w:val="clear" w:color="auto" w:fill="auto"/>
            <w:vAlign w:val="bottom"/>
          </w:tcPr>
          <w:p w14:paraId="2905391A" w14:textId="502FBF67" w:rsidR="00FB6462" w:rsidRPr="00781112" w:rsidRDefault="002B7490" w:rsidP="00A018D4">
            <w:pPr>
              <w:jc w:val="center"/>
              <w:rPr>
                <w:rFonts w:cs="Arial"/>
                <w:color w:val="000000" w:themeColor="text1"/>
                <w:szCs w:val="16"/>
              </w:rPr>
            </w:pPr>
            <w:r w:rsidRPr="00781112">
              <w:rPr>
                <w:rFonts w:cs="Arial"/>
                <w:color w:val="000000" w:themeColor="text1"/>
                <w:szCs w:val="16"/>
              </w:rPr>
              <w:t>10,597</w:t>
            </w:r>
          </w:p>
        </w:tc>
        <w:tc>
          <w:tcPr>
            <w:tcW w:w="542" w:type="pct"/>
            <w:shd w:val="clear" w:color="auto" w:fill="auto"/>
            <w:vAlign w:val="bottom"/>
          </w:tcPr>
          <w:p w14:paraId="486C6AEB" w14:textId="2AC5DAB9" w:rsidR="00FB6462" w:rsidRPr="00781112" w:rsidRDefault="002B7490" w:rsidP="00A018D4">
            <w:pPr>
              <w:jc w:val="center"/>
              <w:rPr>
                <w:rFonts w:cs="Arial"/>
                <w:color w:val="000000" w:themeColor="text1"/>
                <w:szCs w:val="16"/>
              </w:rPr>
            </w:pPr>
            <w:r w:rsidRPr="00781112">
              <w:rPr>
                <w:rFonts w:cs="Arial"/>
                <w:color w:val="000000" w:themeColor="text1"/>
                <w:szCs w:val="16"/>
              </w:rPr>
              <w:t>93.71%</w:t>
            </w:r>
          </w:p>
        </w:tc>
        <w:tc>
          <w:tcPr>
            <w:tcW w:w="667" w:type="pct"/>
            <w:shd w:val="clear" w:color="auto" w:fill="auto"/>
            <w:vAlign w:val="bottom"/>
          </w:tcPr>
          <w:p w14:paraId="024E965C" w14:textId="65736559" w:rsidR="00FB6462" w:rsidRPr="00781112" w:rsidRDefault="002B7490" w:rsidP="00A018D4">
            <w:pPr>
              <w:jc w:val="center"/>
              <w:rPr>
                <w:rFonts w:cs="Arial"/>
                <w:color w:val="000000" w:themeColor="text1"/>
                <w:szCs w:val="16"/>
              </w:rPr>
            </w:pPr>
            <w:r w:rsidRPr="00781112">
              <w:rPr>
                <w:rFonts w:cs="Arial"/>
                <w:color w:val="000000" w:themeColor="text1"/>
                <w:szCs w:val="16"/>
              </w:rPr>
              <w:t>94.00%</w:t>
            </w:r>
          </w:p>
        </w:tc>
        <w:tc>
          <w:tcPr>
            <w:tcW w:w="542" w:type="pct"/>
            <w:shd w:val="clear" w:color="auto" w:fill="auto"/>
            <w:vAlign w:val="bottom"/>
          </w:tcPr>
          <w:p w14:paraId="1BEB0ADC" w14:textId="5244B4D7" w:rsidR="00FB6462" w:rsidRPr="00781112" w:rsidRDefault="002B7490" w:rsidP="00A018D4">
            <w:pPr>
              <w:jc w:val="center"/>
              <w:rPr>
                <w:rFonts w:cs="Arial"/>
                <w:color w:val="000000" w:themeColor="text1"/>
                <w:szCs w:val="16"/>
              </w:rPr>
            </w:pPr>
            <w:r w:rsidRPr="00781112">
              <w:rPr>
                <w:rFonts w:cs="Arial"/>
                <w:color w:val="000000" w:themeColor="text1"/>
                <w:szCs w:val="16"/>
              </w:rPr>
              <w:t>93.81%</w:t>
            </w:r>
          </w:p>
        </w:tc>
        <w:tc>
          <w:tcPr>
            <w:tcW w:w="625" w:type="pct"/>
            <w:shd w:val="clear" w:color="auto" w:fill="auto"/>
            <w:vAlign w:val="bottom"/>
          </w:tcPr>
          <w:p w14:paraId="230C5FAF" w14:textId="6761CD40" w:rsidR="00FB646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6" w:type="pct"/>
            <w:shd w:val="clear" w:color="auto" w:fill="auto"/>
            <w:vAlign w:val="bottom"/>
          </w:tcPr>
          <w:p w14:paraId="2CBF8B2D" w14:textId="3929AFC6" w:rsidR="00FB646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2227E2D" w14:textId="3C53FA16" w:rsidR="00FB6462" w:rsidRPr="00781112" w:rsidRDefault="00FB6462" w:rsidP="005A338D">
      <w:pPr>
        <w:rPr>
          <w:rFonts w:cs="Arial"/>
          <w:b/>
          <w:color w:val="000000" w:themeColor="text1"/>
          <w:szCs w:val="16"/>
        </w:rPr>
      </w:pPr>
      <w:r w:rsidRPr="00781112">
        <w:rPr>
          <w:rFonts w:cs="Arial"/>
          <w:b/>
          <w:color w:val="000000" w:themeColor="text1"/>
          <w:szCs w:val="16"/>
        </w:rPr>
        <w:t>Since the State did not report preschool children separately, discuss the procedures used to combine data from school age and preschool surveys in a manner that is valid and reliable.</w:t>
      </w:r>
    </w:p>
    <w:p w14:paraId="7CADFB93" w14:textId="3119FB87" w:rsidR="00230EE6" w:rsidRPr="00781112" w:rsidRDefault="00230EE6" w:rsidP="005A338D">
      <w:pPr>
        <w:rPr>
          <w:rFonts w:cs="Arial"/>
          <w:color w:val="000000" w:themeColor="text1"/>
          <w:szCs w:val="16"/>
        </w:rPr>
      </w:pPr>
      <w:r w:rsidRPr="00781112">
        <w:rPr>
          <w:rFonts w:cs="Arial"/>
          <w:color w:val="000000" w:themeColor="text1"/>
          <w:szCs w:val="16"/>
        </w:rPr>
        <w:t>The Parent Survey used to calculate this indicator does not differentiate between preschool children and school age children. All families answer the same survey. Because preschool children are served in public schools, we believe that it is appropriate for parents of preschool children to answer the same survey as school-age children.</w:t>
      </w:r>
    </w:p>
    <w:p w14:paraId="75502588" w14:textId="77777777" w:rsidR="007E2779" w:rsidRPr="00781112" w:rsidRDefault="007E2779" w:rsidP="007E2779">
      <w:pPr>
        <w:pStyle w:val="Bold"/>
        <w:rPr>
          <w:color w:val="000000" w:themeColor="text1"/>
        </w:rPr>
      </w:pPr>
    </w:p>
    <w:p w14:paraId="194E8DAB" w14:textId="77777777" w:rsidR="00DF5DC9" w:rsidRDefault="00DF5DC9" w:rsidP="00415FE9">
      <w:pPr>
        <w:rPr>
          <w:rFonts w:cs="Arial"/>
          <w:b/>
          <w:color w:val="000000" w:themeColor="text1"/>
          <w:szCs w:val="16"/>
        </w:rPr>
      </w:pPr>
    </w:p>
    <w:p w14:paraId="1367D5CC" w14:textId="3D23966C" w:rsidR="00415FE9" w:rsidRPr="00781112" w:rsidRDefault="00415FE9" w:rsidP="00415FE9">
      <w:pPr>
        <w:rPr>
          <w:rFonts w:cs="Arial"/>
          <w:b/>
          <w:color w:val="000000" w:themeColor="text1"/>
          <w:szCs w:val="16"/>
        </w:rPr>
      </w:pPr>
      <w:r w:rsidRPr="00781112">
        <w:rPr>
          <w:rFonts w:cs="Arial"/>
          <w:b/>
          <w:color w:val="000000" w:themeColor="text1"/>
          <w:szCs w:val="16"/>
        </w:rPr>
        <w:t>The number of parents to whom the surveys were distributed.</w:t>
      </w:r>
    </w:p>
    <w:p w14:paraId="1181B460" w14:textId="042BF6E0" w:rsidR="00415FE9" w:rsidRPr="00781112" w:rsidRDefault="00415FE9" w:rsidP="00415FE9">
      <w:pPr>
        <w:rPr>
          <w:rFonts w:cs="Arial"/>
          <w:color w:val="000000" w:themeColor="text1"/>
          <w:szCs w:val="16"/>
        </w:rPr>
      </w:pPr>
      <w:r w:rsidRPr="00781112">
        <w:rPr>
          <w:rFonts w:cs="Arial"/>
          <w:color w:val="000000" w:themeColor="text1"/>
          <w:szCs w:val="16"/>
        </w:rPr>
        <w:t>117,469</w:t>
      </w:r>
    </w:p>
    <w:p w14:paraId="37F1825E"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47233287" w14:textId="25AA931E" w:rsidR="00415FE9" w:rsidRPr="00781112" w:rsidRDefault="00415FE9" w:rsidP="00415FE9">
      <w:pPr>
        <w:rPr>
          <w:rFonts w:cs="Arial"/>
          <w:color w:val="000000" w:themeColor="text1"/>
          <w:szCs w:val="16"/>
        </w:rPr>
      </w:pPr>
      <w:r w:rsidRPr="00781112">
        <w:rPr>
          <w:rFonts w:cs="Arial"/>
          <w:color w:val="000000" w:themeColor="text1"/>
          <w:szCs w:val="16"/>
        </w:rPr>
        <w:t>9.02%</w:t>
      </w:r>
    </w:p>
    <w:p w14:paraId="6E133112" w14:textId="714E6C68" w:rsidR="00090132" w:rsidRDefault="00090132" w:rsidP="00AF550B">
      <w:pPr>
        <w:rPr>
          <w:rFonts w:cs="Arial"/>
          <w:iCs/>
          <w:color w:val="000000" w:themeColor="text1"/>
          <w:szCs w:val="16"/>
        </w:rPr>
      </w:pPr>
    </w:p>
    <w:p w14:paraId="22944736"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340"/>
        <w:gridCol w:w="670"/>
      </w:tblGrid>
      <w:tr w:rsidR="00090132" w:rsidRPr="00F737BA" w14:paraId="0E1B543B" w14:textId="77777777" w:rsidTr="00DF5DC9">
        <w:tc>
          <w:tcPr>
            <w:tcW w:w="1885" w:type="dxa"/>
          </w:tcPr>
          <w:p w14:paraId="2D7C9FC3" w14:textId="77777777" w:rsidR="00090132" w:rsidRPr="00F737BA" w:rsidRDefault="00090132" w:rsidP="00DF5DC9">
            <w:pPr>
              <w:jc w:val="center"/>
              <w:rPr>
                <w:rFonts w:cs="Arial"/>
                <w:b/>
                <w:szCs w:val="16"/>
              </w:rPr>
            </w:pPr>
            <w:bookmarkStart w:id="41" w:name="_Hlk79652737"/>
            <w:r w:rsidRPr="00F737BA">
              <w:rPr>
                <w:rFonts w:cs="Arial"/>
                <w:b/>
                <w:szCs w:val="16"/>
              </w:rPr>
              <w:t>FFY</w:t>
            </w:r>
          </w:p>
        </w:tc>
        <w:tc>
          <w:tcPr>
            <w:tcW w:w="2340" w:type="dxa"/>
          </w:tcPr>
          <w:p w14:paraId="2109B7B6" w14:textId="77777777" w:rsidR="00090132" w:rsidRPr="004A62FE" w:rsidRDefault="00090132" w:rsidP="00DF5DC9">
            <w:pPr>
              <w:jc w:val="center"/>
              <w:rPr>
                <w:rFonts w:cs="Arial"/>
                <w:b/>
                <w:szCs w:val="16"/>
              </w:rPr>
            </w:pPr>
            <w:r w:rsidRPr="004A62FE">
              <w:rPr>
                <w:rFonts w:cs="Arial"/>
                <w:b/>
                <w:color w:val="000000" w:themeColor="text1"/>
                <w:szCs w:val="16"/>
              </w:rPr>
              <w:t>2020</w:t>
            </w:r>
          </w:p>
        </w:tc>
        <w:tc>
          <w:tcPr>
            <w:tcW w:w="360" w:type="dxa"/>
          </w:tcPr>
          <w:p w14:paraId="0CD9799E" w14:textId="77777777" w:rsidR="00090132" w:rsidRPr="004A62FE" w:rsidRDefault="00090132" w:rsidP="00DF5DC9">
            <w:pPr>
              <w:jc w:val="center"/>
              <w:rPr>
                <w:rFonts w:cs="Arial"/>
                <w:b/>
                <w:szCs w:val="16"/>
              </w:rPr>
            </w:pPr>
            <w:r w:rsidRPr="004A62FE">
              <w:rPr>
                <w:rFonts w:cs="Arial"/>
                <w:b/>
                <w:color w:val="000000" w:themeColor="text1"/>
                <w:szCs w:val="16"/>
              </w:rPr>
              <w:t>2021</w:t>
            </w:r>
          </w:p>
        </w:tc>
      </w:tr>
      <w:tr w:rsidR="00090132" w:rsidRPr="00F737BA" w14:paraId="3E600875" w14:textId="77777777" w:rsidTr="00DF5DC9">
        <w:tc>
          <w:tcPr>
            <w:tcW w:w="1885" w:type="dxa"/>
          </w:tcPr>
          <w:p w14:paraId="497B06E4" w14:textId="77777777" w:rsidR="00090132" w:rsidRPr="00F737BA" w:rsidRDefault="00090132" w:rsidP="00DF5DC9">
            <w:pPr>
              <w:rPr>
                <w:rFonts w:cs="Arial"/>
                <w:szCs w:val="16"/>
              </w:rPr>
            </w:pPr>
            <w:r w:rsidRPr="00F737BA">
              <w:rPr>
                <w:rFonts w:cs="Arial"/>
                <w:szCs w:val="16"/>
              </w:rPr>
              <w:t xml:space="preserve">Response Rate </w:t>
            </w:r>
          </w:p>
        </w:tc>
        <w:tc>
          <w:tcPr>
            <w:tcW w:w="2340" w:type="dxa"/>
            <w:shd w:val="clear" w:color="auto" w:fill="auto"/>
          </w:tcPr>
          <w:p w14:paraId="0FC44028" w14:textId="50784D2F" w:rsidR="00090132" w:rsidRPr="004A62FE" w:rsidRDefault="00090132" w:rsidP="000B4405">
            <w:pPr>
              <w:jc w:val="center"/>
              <w:rPr>
                <w:rFonts w:cs="Arial"/>
                <w:szCs w:val="16"/>
              </w:rPr>
            </w:pPr>
            <w:r w:rsidRPr="004A62FE">
              <w:rPr>
                <w:rFonts w:cs="Arial"/>
                <w:iCs/>
                <w:color w:val="000000" w:themeColor="text1"/>
                <w:szCs w:val="16"/>
              </w:rPr>
              <w:t>7.97%</w:t>
            </w:r>
          </w:p>
        </w:tc>
        <w:tc>
          <w:tcPr>
            <w:tcW w:w="360" w:type="dxa"/>
            <w:shd w:val="clear" w:color="auto" w:fill="auto"/>
          </w:tcPr>
          <w:p w14:paraId="76DE0483" w14:textId="3235EE79" w:rsidR="00090132" w:rsidRPr="004A62FE" w:rsidRDefault="00090132" w:rsidP="000B4405">
            <w:pPr>
              <w:jc w:val="center"/>
              <w:rPr>
                <w:rFonts w:cs="Arial"/>
                <w:szCs w:val="16"/>
              </w:rPr>
            </w:pPr>
            <w:r w:rsidRPr="00090132">
              <w:rPr>
                <w:rFonts w:cs="Arial"/>
                <w:iCs/>
                <w:color w:val="000000" w:themeColor="text1"/>
                <w:szCs w:val="16"/>
              </w:rPr>
              <w:t>9.02%</w:t>
            </w:r>
          </w:p>
        </w:tc>
      </w:tr>
      <w:bookmarkEnd w:id="41"/>
    </w:tbl>
    <w:p w14:paraId="05313584"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4BDEC798" w14:textId="77777777" w:rsidR="00090132" w:rsidRPr="0061205F" w:rsidRDefault="00090132" w:rsidP="00090132">
      <w:pPr>
        <w:rPr>
          <w:rFonts w:cs="Arial"/>
          <w:b/>
          <w:color w:val="000000" w:themeColor="text1"/>
          <w:szCs w:val="16"/>
        </w:rPr>
      </w:pPr>
      <w:r w:rsidRPr="0061205F">
        <w:rPr>
          <w:rFonts w:cs="Arial"/>
          <w:b/>
          <w:color w:val="000000" w:themeColor="text1"/>
          <w:szCs w:val="16"/>
        </w:rPr>
        <w:t>Describe strategies that will be implemented which are expected to increase the response rate year over year, particularly for those groups that are underrepresented.</w:t>
      </w:r>
    </w:p>
    <w:p w14:paraId="3C9BE65D"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 xml:space="preserve">All parents are supposed to have an opportunity to voluntarily respond to the survey; a weighted sample is not used. As a result, a perfect representation of child count is unlikely to occur. The State continues to work with local LEAs to increase response rates, particularly those that are larger and have had low rates in the past. We have encouraged them to plan more deliberately when surveys are provided to families and to ensure that all families have the opportunity to respond. Because larger LEAs are more likely to have lower response rates while also serving a more diverse student population, by increasing response rates in these LEAs , representation should improve. In particular, we expect that working with larger LEAs to increase local response rates will result in a response pool that more adequately represents families of students in high school and/or who identify as Black and African-American or Hispanic/Latino. </w:t>
      </w:r>
    </w:p>
    <w:p w14:paraId="43E156F3" w14:textId="001639B3" w:rsidR="00090132" w:rsidRDefault="00090132" w:rsidP="00090132">
      <w:pPr>
        <w:rPr>
          <w:rFonts w:cs="Arial"/>
          <w:b/>
          <w:color w:val="000000" w:themeColor="text1"/>
          <w:szCs w:val="16"/>
        </w:rPr>
      </w:pPr>
      <w:r w:rsidRPr="0061205F">
        <w:rPr>
          <w:rFonts w:cs="Arial"/>
          <w:b/>
          <w:color w:val="000000" w:themeColor="text1"/>
          <w:szCs w:val="16"/>
        </w:rPr>
        <w:t xml:space="preserve">Describe the analysis </w:t>
      </w:r>
      <w:bookmarkStart w:id="42" w:name="_Hlk81486999"/>
      <w:r w:rsidRPr="0061205F">
        <w:rPr>
          <w:rFonts w:cs="Arial"/>
          <w:b/>
          <w:color w:val="000000" w:themeColor="text1"/>
          <w:szCs w:val="16"/>
        </w:rPr>
        <w:t>of the response rate including any nonresponse bias that was identified,</w:t>
      </w:r>
      <w:bookmarkEnd w:id="42"/>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36D187F6" w14:textId="77777777" w:rsidR="00090132" w:rsidRPr="000A2B9F" w:rsidRDefault="00090132" w:rsidP="00090132">
      <w:pPr>
        <w:rPr>
          <w:rFonts w:cs="Arial"/>
          <w:b/>
          <w:color w:val="000000" w:themeColor="text1"/>
          <w:szCs w:val="16"/>
        </w:rPr>
      </w:pPr>
      <w:r>
        <w:rPr>
          <w:rFonts w:cs="Arial"/>
          <w:szCs w:val="16"/>
        </w:rPr>
        <w:t xml:space="preserve">Non-response bias may occur when a sub-section of parents are unwilling or unable to respond to a survey. The error comes from the absence of participants and not from collecting erroneous data. Each parent is supposed to be offered an opportunity to complete the parent survey annually, typically at the IEP meeting. To reflect this expectation, our total count of surveys distributed is the annual child count. The method chosen by Oklahoma is to distribute the survey to parents via the LEAs. </w:t>
      </w:r>
      <w:r>
        <w:rPr>
          <w:rFonts w:cs="Arial"/>
          <w:szCs w:val="16"/>
        </w:rPr>
        <w:br/>
      </w:r>
      <w:r>
        <w:rPr>
          <w:rFonts w:cs="Arial"/>
          <w:szCs w:val="16"/>
        </w:rPr>
        <w:br/>
        <w:t>As described in the next section, some groups of parents consistently (every year) respond differently to the survey than other subgroups in recognizable ways. Parents of students with disabilities tend to respond less favorably as their children age (parental approval of LEA support is higher for the youngest groups and lower among older groups, on average). This may create some non-response bias in the dataset because parents of older students respond less favorably. If they responded at a rate equivalent to parents of younger students, it is possible that the overall approval rate would decrease. Also, parents of Black/African American, Asian and Native Hawaiian/Pacific Islander students with disabilities tend to respond slightly less favorably than parents of SWD of other races. The state encourages LEAs to increase their responses from all families to improve the age distribution of the response pool.</w:t>
      </w:r>
      <w:r>
        <w:rPr>
          <w:rFonts w:cs="Arial"/>
          <w:szCs w:val="16"/>
        </w:rPr>
        <w:br/>
      </w:r>
      <w:r>
        <w:rPr>
          <w:rFonts w:cs="Arial"/>
          <w:szCs w:val="16"/>
        </w:rPr>
        <w:br/>
        <w:t>Age Group Approval Average</w:t>
      </w:r>
      <w:r>
        <w:rPr>
          <w:rFonts w:cs="Arial"/>
          <w:szCs w:val="16"/>
        </w:rPr>
        <w:br/>
        <w:t>All    94%</w:t>
      </w:r>
      <w:r>
        <w:rPr>
          <w:rFonts w:cs="Arial"/>
          <w:szCs w:val="16"/>
        </w:rPr>
        <w:br/>
        <w:t>3 to 5  95%</w:t>
      </w:r>
      <w:r>
        <w:rPr>
          <w:rFonts w:cs="Arial"/>
          <w:szCs w:val="16"/>
        </w:rPr>
        <w:br/>
        <w:t>6 to 10  94%</w:t>
      </w:r>
      <w:r>
        <w:rPr>
          <w:rFonts w:cs="Arial"/>
          <w:szCs w:val="16"/>
        </w:rPr>
        <w:br/>
        <w:t>11 to 13  94%</w:t>
      </w:r>
      <w:r>
        <w:rPr>
          <w:rFonts w:cs="Arial"/>
          <w:szCs w:val="16"/>
        </w:rPr>
        <w:br/>
        <w:t>14 to 18  92%</w:t>
      </w:r>
      <w:r>
        <w:rPr>
          <w:rFonts w:cs="Arial"/>
          <w:szCs w:val="16"/>
        </w:rPr>
        <w:br/>
        <w:t>19+    87%</w:t>
      </w:r>
      <w:r>
        <w:rPr>
          <w:rFonts w:cs="Arial"/>
          <w:szCs w:val="16"/>
        </w:rPr>
        <w:br/>
        <w:t>Prefer No Answer 86%</w:t>
      </w:r>
      <w:r>
        <w:rPr>
          <w:rFonts w:cs="Arial"/>
          <w:szCs w:val="16"/>
        </w:rPr>
        <w:br/>
      </w:r>
      <w:r>
        <w:rPr>
          <w:rFonts w:cs="Arial"/>
          <w:szCs w:val="16"/>
        </w:rPr>
        <w:br/>
      </w:r>
      <w:r>
        <w:rPr>
          <w:rFonts w:cs="Arial"/>
          <w:szCs w:val="16"/>
        </w:rPr>
        <w:br/>
        <w:t>Race Approval Average</w:t>
      </w:r>
      <w:r>
        <w:rPr>
          <w:rFonts w:cs="Arial"/>
          <w:szCs w:val="16"/>
        </w:rPr>
        <w:br/>
        <w:t>All 94%</w:t>
      </w:r>
      <w:r>
        <w:rPr>
          <w:rFonts w:cs="Arial"/>
          <w:szCs w:val="16"/>
        </w:rPr>
        <w:br/>
        <w:t>American Indian/Alaskan Native 95%</w:t>
      </w:r>
      <w:r>
        <w:rPr>
          <w:rFonts w:cs="Arial"/>
          <w:szCs w:val="16"/>
        </w:rPr>
        <w:br/>
        <w:t>Asian 91%</w:t>
      </w:r>
      <w:r>
        <w:rPr>
          <w:rFonts w:cs="Arial"/>
          <w:szCs w:val="16"/>
        </w:rPr>
        <w:br/>
        <w:t>Black/African American 90%</w:t>
      </w:r>
      <w:r>
        <w:rPr>
          <w:rFonts w:cs="Arial"/>
          <w:szCs w:val="16"/>
        </w:rPr>
        <w:br/>
        <w:t>Hispanic or Latino 94%</w:t>
      </w:r>
      <w:r>
        <w:rPr>
          <w:rFonts w:cs="Arial"/>
          <w:szCs w:val="16"/>
        </w:rPr>
        <w:br/>
        <w:t>Native Hawaiian/Pacific Islander 90%</w:t>
      </w:r>
      <w:r>
        <w:rPr>
          <w:rFonts w:cs="Arial"/>
          <w:szCs w:val="16"/>
        </w:rPr>
        <w:br/>
        <w:t>Two or More Races 94%</w:t>
      </w:r>
      <w:r>
        <w:rPr>
          <w:rFonts w:cs="Arial"/>
          <w:szCs w:val="16"/>
        </w:rPr>
        <w:br/>
        <w:t>White/Caucasian 94%</w:t>
      </w:r>
      <w:r>
        <w:rPr>
          <w:rFonts w:cs="Arial"/>
          <w:szCs w:val="16"/>
        </w:rPr>
        <w:br/>
        <w:t>Prefer Not to Answer 85%</w:t>
      </w:r>
    </w:p>
    <w:p w14:paraId="78A83A27" w14:textId="50D5E24D" w:rsidR="001F448F" w:rsidRDefault="001F448F" w:rsidP="00A12797">
      <w:pPr>
        <w:rPr>
          <w:b/>
          <w:bCs/>
        </w:rPr>
      </w:pPr>
    </w:p>
    <w:p w14:paraId="325464F9" w14:textId="77777777" w:rsidR="000762B0" w:rsidRPr="000762B0" w:rsidRDefault="000762B0" w:rsidP="000762B0">
      <w:pPr>
        <w:rPr>
          <w:b/>
          <w:bCs/>
        </w:rPr>
      </w:pPr>
      <w:r w:rsidRPr="000762B0">
        <w:rPr>
          <w:b/>
          <w:bCs/>
        </w:rPr>
        <w:t xml:space="preserve">Include the State’s analyses of the extent to which the demographics of the parents responding are representative of the demographics of children receiving special education services. </w:t>
      </w:r>
      <w:bookmarkStart w:id="43" w:name="_Hlk112070690"/>
      <w:bookmarkStart w:id="44" w:name="_Hlk92445770"/>
      <w:r w:rsidRPr="000762B0">
        <w:rPr>
          <w:b/>
          <w:bCs/>
        </w:rPr>
        <w:t>States must include race/ethnicity in their analysis. In addition, the State’s analysis must also include at least one of the following demographics: age of the student, disability category, gender, geographic location, and/or another demographic category approved through the stakeholder input process.</w:t>
      </w:r>
    </w:p>
    <w:bookmarkEnd w:id="43"/>
    <w:bookmarkEnd w:id="44"/>
    <w:p w14:paraId="513A1FE6" w14:textId="77777777" w:rsidR="00090132" w:rsidRDefault="00090132" w:rsidP="006F6351">
      <w:pPr>
        <w:rPr>
          <w:b/>
          <w:bCs/>
        </w:rPr>
      </w:pPr>
      <w:r w:rsidRPr="000A2B9F">
        <w:rPr>
          <w:bCs/>
          <w:color w:val="000000" w:themeColor="text1"/>
        </w:rPr>
        <w:t>As described briefly in the previous section, the age distribution does not align with child count (Table 1), but does match the historical voluntary response patterns for the state's survey: parents of young children are much more likely to respond than parents of older children, especially parents of high school students. Using a z-score test for differences in proportions, the proportion of respondents' children’s ages differs significantly from the proportion of those ages in the annual child count (October 1, 2021) for every age group. As a result, the perspectives of parents with younger children outweigh those of parents with older children in the survey results, who tended to have less favorable opinions of their school's support than did the former. It is possible that with a more representative response pool, the overall approval rate may be lower.</w:t>
      </w:r>
      <w:r w:rsidRPr="000A2B9F">
        <w:rPr>
          <w:bCs/>
          <w:color w:val="000000" w:themeColor="text1"/>
        </w:rPr>
        <w:br/>
      </w:r>
      <w:r w:rsidRPr="000A2B9F">
        <w:rPr>
          <w:bCs/>
          <w:color w:val="000000" w:themeColor="text1"/>
        </w:rPr>
        <w:br/>
        <w:t xml:space="preserve">Table 1: </w:t>
      </w:r>
      <w:r w:rsidRPr="000A2B9F">
        <w:rPr>
          <w:bCs/>
          <w:color w:val="000000" w:themeColor="text1"/>
        </w:rPr>
        <w:br/>
        <w:t>Age Group; Survey Resp#; Resp Rate; Child Count; CC Rate; Diff in Rates; P-Value</w:t>
      </w:r>
      <w:r w:rsidRPr="000A2B9F">
        <w:rPr>
          <w:bCs/>
          <w:color w:val="000000" w:themeColor="text1"/>
        </w:rPr>
        <w:br/>
        <w:t>All   10597     117469</w:t>
      </w:r>
      <w:r w:rsidRPr="000A2B9F">
        <w:rPr>
          <w:bCs/>
          <w:color w:val="000000" w:themeColor="text1"/>
        </w:rPr>
        <w:br/>
        <w:t>3 to 5  1542  14.6%  6651 5.7% 8.9% 0.00001</w:t>
      </w:r>
      <w:r w:rsidRPr="000A2B9F">
        <w:rPr>
          <w:bCs/>
          <w:color w:val="000000" w:themeColor="text1"/>
        </w:rPr>
        <w:br/>
        <w:t>6 to 10  4260  40.2%  40170 34.2% 6.0% 0.00001</w:t>
      </w:r>
      <w:r w:rsidRPr="000A2B9F">
        <w:rPr>
          <w:bCs/>
          <w:color w:val="000000" w:themeColor="text1"/>
        </w:rPr>
        <w:br/>
        <w:t>11 to 13  2151  20.3%  27527 23.4% -3.1% 0.00001</w:t>
      </w:r>
      <w:r w:rsidRPr="000A2B9F">
        <w:rPr>
          <w:bCs/>
          <w:color w:val="000000" w:themeColor="text1"/>
        </w:rPr>
        <w:br/>
        <w:t>14 to 18  2291  21.6%  40695 34.6% -13.0% 0.00001</w:t>
      </w:r>
      <w:r w:rsidRPr="000A2B9F">
        <w:rPr>
          <w:bCs/>
          <w:color w:val="000000" w:themeColor="text1"/>
        </w:rPr>
        <w:br/>
        <w:t>19+    64    0.6%  2426 2.1% -1.5% 0.00001</w:t>
      </w:r>
      <w:r w:rsidRPr="000A2B9F">
        <w:rPr>
          <w:bCs/>
          <w:color w:val="000000" w:themeColor="text1"/>
        </w:rPr>
        <w:br/>
        <w:t>Prefer No Answer 289 2.7%</w:t>
      </w:r>
      <w:r w:rsidRPr="000A2B9F">
        <w:rPr>
          <w:bCs/>
          <w:color w:val="000000" w:themeColor="text1"/>
        </w:rPr>
        <w:br/>
      </w:r>
      <w:r w:rsidRPr="000A2B9F">
        <w:rPr>
          <w:bCs/>
          <w:color w:val="000000" w:themeColor="text1"/>
        </w:rPr>
        <w:br/>
        <w:t>Regarding race and ethnicity (Table 2): Hispanics are under-represented in the survey response pool compared to child count, as are African-Americans, both by approx. 5 percent. White respondents are over-represented by about the same percentage, while Native Americans are over-represented by about 3 percent. The differences in proportions between respondents and child count are significantly different for all race groups except Pacific Islanders. A substantial 2.9% of respondents chose not to reveal racial or ethnic identities. Asian, Pacific Islander, and African-American respondents had lower average approval ratings than did parents of other race and ethnic identities (4 percentage point difference), while those who chose not to respond to the question about race/ethnicity had substantially lower average approval ratings, with a gap of 9 percentage points. This suggests that respondents who had more negative experiences with their LEAs were less likely to share personal demographic information.</w:t>
      </w:r>
      <w:r w:rsidRPr="000A2B9F">
        <w:rPr>
          <w:bCs/>
          <w:color w:val="000000" w:themeColor="text1"/>
        </w:rPr>
        <w:br/>
      </w:r>
      <w:r w:rsidRPr="000A2B9F">
        <w:rPr>
          <w:bCs/>
          <w:color w:val="000000" w:themeColor="text1"/>
        </w:rPr>
        <w:br/>
        <w:t xml:space="preserve">Table 2: </w:t>
      </w:r>
      <w:r w:rsidRPr="000A2B9F">
        <w:rPr>
          <w:bCs/>
          <w:color w:val="000000" w:themeColor="text1"/>
        </w:rPr>
        <w:br/>
        <w:t>Race/Ethnicity; Survey Resp#; Resp Rate; Child Count; CC Rate; Diff in Rates; P-Value</w:t>
      </w:r>
      <w:r w:rsidRPr="000A2B9F">
        <w:rPr>
          <w:bCs/>
          <w:color w:val="000000" w:themeColor="text1"/>
        </w:rPr>
        <w:br/>
        <w:t>All     10597    117469</w:t>
      </w:r>
      <w:r w:rsidRPr="000A2B9F">
        <w:rPr>
          <w:bCs/>
          <w:color w:val="000000" w:themeColor="text1"/>
        </w:rPr>
        <w:br/>
        <w:t>Native American  1843 17.4% 16749 14.3% 3.1% 0.00001</w:t>
      </w:r>
      <w:r w:rsidRPr="000A2B9F">
        <w:rPr>
          <w:bCs/>
          <w:color w:val="000000" w:themeColor="text1"/>
        </w:rPr>
        <w:br/>
        <w:t>Asian    48  0.5% 1145 1.0% -0.5% 0.00001</w:t>
      </w:r>
      <w:r w:rsidRPr="000A2B9F">
        <w:rPr>
          <w:bCs/>
          <w:color w:val="000000" w:themeColor="text1"/>
        </w:rPr>
        <w:br/>
        <w:t>Black/African Am. 418 3.9% 10239  8.7% -4.8% 0.00001</w:t>
      </w:r>
      <w:r w:rsidRPr="000A2B9F">
        <w:rPr>
          <w:bCs/>
          <w:color w:val="000000" w:themeColor="text1"/>
        </w:rPr>
        <w:br/>
        <w:t>Hispanic or Latino 1122 10.6% 18716 15.9% -5.3% 0.00001</w:t>
      </w:r>
      <w:r w:rsidRPr="000A2B9F">
        <w:rPr>
          <w:bCs/>
          <w:color w:val="000000" w:themeColor="text1"/>
        </w:rPr>
        <w:br/>
        <w:t>Pacific Islander  17  0.2% 226  0.2% 0.0% 0.47152</w:t>
      </w:r>
      <w:r w:rsidRPr="000A2B9F">
        <w:rPr>
          <w:bCs/>
          <w:color w:val="000000" w:themeColor="text1"/>
        </w:rPr>
        <w:br/>
        <w:t>Two/More Races  1243 11.7% 14821 12.6% -0.9% 0.0083</w:t>
      </w:r>
      <w:r w:rsidRPr="000A2B9F">
        <w:rPr>
          <w:bCs/>
          <w:color w:val="000000" w:themeColor="text1"/>
        </w:rPr>
        <w:br/>
        <w:t>White/Caucasian  5599 52.8% 55573 47.3% 5.5% 0.00001</w:t>
      </w:r>
      <w:r w:rsidRPr="000A2B9F">
        <w:rPr>
          <w:bCs/>
          <w:color w:val="000000" w:themeColor="text1"/>
        </w:rPr>
        <w:br/>
        <w:t>Prefer No Answer 307 2.9%</w:t>
      </w:r>
      <w:r w:rsidRPr="000A2B9F">
        <w:rPr>
          <w:bCs/>
          <w:color w:val="000000" w:themeColor="text1"/>
        </w:rPr>
        <w:br/>
      </w:r>
      <w:r w:rsidRPr="000A2B9F">
        <w:rPr>
          <w:bCs/>
          <w:color w:val="000000" w:themeColor="text1"/>
        </w:rPr>
        <w:br/>
        <w:t>The regional response patterns continue along historical trends (Table 3). The central region (which includes several of the largest LEAs in the state) is substantially under-represented in the survey response pool, while every other region (areas of very small LEAs that emphasize survey participation) are substantially over-represented. This is true except for the Northeast, which also contains a large urban area and numerous larger LEAs. It's fairly evenly represented in the response pool compared to child count (and the only region that does not have a significant difference between the survey response rate and the population rate).</w:t>
      </w:r>
      <w:r w:rsidRPr="000A2B9F">
        <w:rPr>
          <w:bCs/>
          <w:color w:val="000000" w:themeColor="text1"/>
        </w:rPr>
        <w:br/>
      </w:r>
      <w:r w:rsidRPr="000A2B9F">
        <w:rPr>
          <w:bCs/>
          <w:color w:val="000000" w:themeColor="text1"/>
        </w:rPr>
        <w:br/>
        <w:t>Table 3:</w:t>
      </w:r>
      <w:r w:rsidRPr="000A2B9F">
        <w:rPr>
          <w:bCs/>
          <w:color w:val="000000" w:themeColor="text1"/>
        </w:rPr>
        <w:br/>
        <w:t>Region; Survey Resp#; Resp Rate; Child Count; CC Rate; Diff in Rates; P-Value</w:t>
      </w:r>
      <w:r w:rsidRPr="000A2B9F">
        <w:rPr>
          <w:bCs/>
          <w:color w:val="000000" w:themeColor="text1"/>
        </w:rPr>
        <w:br/>
        <w:t>ALL    10597    117469</w:t>
      </w:r>
      <w:r w:rsidRPr="000A2B9F">
        <w:rPr>
          <w:bCs/>
          <w:color w:val="000000" w:themeColor="text1"/>
        </w:rPr>
        <w:br/>
        <w:t>Northeast 3476 32.8% 37543 32.0% 0.8% 0.07508</w:t>
      </w:r>
      <w:r w:rsidRPr="000A2B9F">
        <w:rPr>
          <w:bCs/>
          <w:color w:val="000000" w:themeColor="text1"/>
        </w:rPr>
        <w:br/>
        <w:t>Northwest 714  6.7% 4720 4.0% 2.7% 0.00001</w:t>
      </w:r>
      <w:r w:rsidRPr="000A2B9F">
        <w:rPr>
          <w:bCs/>
          <w:color w:val="000000" w:themeColor="text1"/>
        </w:rPr>
        <w:br/>
        <w:t>Panhandle 154   1.5% 673   0.6% 0.9% 0.00001</w:t>
      </w:r>
      <w:r w:rsidRPr="000A2B9F">
        <w:rPr>
          <w:bCs/>
          <w:color w:val="000000" w:themeColor="text1"/>
        </w:rPr>
        <w:br/>
        <w:t>Southeast 1412 13.3% 10211 8.7% 4.6% 0.00001</w:t>
      </w:r>
      <w:r w:rsidRPr="000A2B9F">
        <w:rPr>
          <w:bCs/>
          <w:color w:val="000000" w:themeColor="text1"/>
        </w:rPr>
        <w:br/>
        <w:t>Southwest 1379 13.0% 11713 10.0% 3.0% 0.00001</w:t>
      </w:r>
      <w:r w:rsidRPr="000A2B9F">
        <w:rPr>
          <w:bCs/>
          <w:color w:val="000000" w:themeColor="text1"/>
        </w:rPr>
        <w:br/>
        <w:t>S. Central  889   8.4% 6966 5.9% 2.5% 0.00001</w:t>
      </w:r>
      <w:r w:rsidRPr="000A2B9F">
        <w:rPr>
          <w:bCs/>
          <w:color w:val="000000" w:themeColor="text1"/>
        </w:rPr>
        <w:br/>
        <w:t>Central  2513 23.7% 45643 38.9% -15.1% 0.00001</w:t>
      </w:r>
      <w:r w:rsidRPr="000A2B9F">
        <w:rPr>
          <w:bCs/>
          <w:color w:val="000000" w:themeColor="text1"/>
        </w:rPr>
        <w:br/>
        <w:t>Unknown 60   0.6%</w:t>
      </w:r>
      <w:r w:rsidRPr="000A2B9F">
        <w:rPr>
          <w:bCs/>
          <w:color w:val="000000" w:themeColor="text1"/>
        </w:rPr>
        <w:br/>
      </w:r>
      <w:r w:rsidRPr="000A2B9F">
        <w:rPr>
          <w:bCs/>
          <w:color w:val="000000" w:themeColor="text1"/>
        </w:rPr>
        <w:br/>
        <w:t>There are several meaningful differences in survey response frequencies across certain races (Table 2) and regions (Table 3). We believe the variation in these two demographic areas is based in the differential response rates of small and large LEAs. Large LEAs—those with a special education child count of 500 or more (86 was the median 2021 child count in Oklahoma)—have an average response rate of 4.95% while the average across all other LEAs was 17.32%. Most large LEAs are located in the Central or Northeast regions in our large urban areas. Small LEAs are much more common in the outlying regions of the state and are more likely to have higher enrollments of white and Native American students, raising the overall participation rate for those groups and those regions. As mentioned earlier, increasing response rates in larger LEAs to be even with smaller LEAs should balance representation across the state and among the various race and ethnic groups.</w:t>
      </w:r>
    </w:p>
    <w:p w14:paraId="524817D1" w14:textId="77777777" w:rsidR="000762B0" w:rsidRPr="000762B0" w:rsidRDefault="000762B0" w:rsidP="000762B0">
      <w:pPr>
        <w:pStyle w:val="Subhed"/>
        <w:rPr>
          <w:bCs/>
        </w:rPr>
      </w:pPr>
      <w:r w:rsidRPr="000762B0">
        <w:rPr>
          <w:bCs/>
        </w:rPr>
        <w:t>The demographics of the parents responding are representative of the demographics of children receiving special education services. (yes/no)</w:t>
      </w:r>
    </w:p>
    <w:p w14:paraId="547B39F9" w14:textId="77777777" w:rsidR="00090132" w:rsidRPr="000A2B9F" w:rsidRDefault="00090132" w:rsidP="00090132">
      <w:pPr>
        <w:pStyle w:val="Subhed"/>
        <w:rPr>
          <w:b w:val="0"/>
          <w:bCs/>
        </w:rPr>
      </w:pPr>
      <w:r w:rsidRPr="000A2B9F">
        <w:rPr>
          <w:b w:val="0"/>
          <w:bCs/>
          <w:color w:val="000000" w:themeColor="text1"/>
        </w:rPr>
        <w:t>NO</w:t>
      </w:r>
    </w:p>
    <w:p w14:paraId="166BD57C" w14:textId="36346D06" w:rsidR="00090132" w:rsidRPr="00A12797" w:rsidRDefault="000762B0" w:rsidP="00A12797">
      <w:pPr>
        <w:rPr>
          <w:b/>
          <w:bCs/>
        </w:rPr>
      </w:pPr>
      <w:r w:rsidRPr="000762B0">
        <w:rPr>
          <w:b/>
          <w:bCs/>
        </w:rPr>
        <w:t>If no, describe the strategies that the State will use to ensure that in the future the response data are representative of those demographics</w:t>
      </w:r>
    </w:p>
    <w:p w14:paraId="41E9A939" w14:textId="77777777" w:rsidR="00090132" w:rsidRPr="000A2B9F" w:rsidRDefault="00090132" w:rsidP="00090132">
      <w:pPr>
        <w:pStyle w:val="Subhed"/>
        <w:rPr>
          <w:b w:val="0"/>
          <w:bCs/>
        </w:rPr>
      </w:pPr>
      <w:r w:rsidRPr="000A2B9F">
        <w:rPr>
          <w:b w:val="0"/>
          <w:bCs/>
          <w:color w:val="000000" w:themeColor="text1"/>
        </w:rPr>
        <w:t>The State continues to work with districts to increase response rates by encouraging them to plan more deliberately when surveys are provided to families and to ensure that all families have the opportunity to respond.  Districts have begun providing parents the opportunity to complete the survey prior to them leaving the IEP meeting. Additionally, the state has partnered with the Oklahoma Parent Center, a parent training and information center, and Sooner success, a regional parent training group, to promote the importance of completing parent surveys. The state also awards a bonus point on the district’s annual Determination for those districts with a 5% increase in response rate. The state also distributes a monthly newsletter to districts which includes ideas on how to monitor and improve response rates, as well as adding additional information on parent surveys on the state’s website. See link below.</w:t>
      </w:r>
    </w:p>
    <w:p w14:paraId="3C0DCBDF" w14:textId="77777777" w:rsidR="00090132" w:rsidRPr="00F737BA" w:rsidRDefault="00090132" w:rsidP="00090132">
      <w:pPr>
        <w:pStyle w:val="Subhed"/>
        <w:rPr>
          <w:b w:val="0"/>
        </w:rPr>
      </w:pPr>
    </w:p>
    <w:p w14:paraId="7852ED85" w14:textId="77777777" w:rsidR="00090132" w:rsidRPr="000B29F8" w:rsidRDefault="00090132" w:rsidP="000B29F8">
      <w:pPr>
        <w:rPr>
          <w:b/>
          <w:bCs/>
        </w:rPr>
      </w:pPr>
      <w:r w:rsidRPr="000B29F8">
        <w:rPr>
          <w:b/>
          <w:bCs/>
        </w:rPr>
        <w:t>Describe the metric used to determine representativeness (e.g., +/- 3% discrepancy in the proportion of responders compared to target group).</w:t>
      </w:r>
    </w:p>
    <w:p w14:paraId="206EFA69" w14:textId="77777777" w:rsidR="00090132" w:rsidRPr="000A2B9F" w:rsidRDefault="00090132" w:rsidP="00090132">
      <w:pPr>
        <w:pStyle w:val="Subhed"/>
        <w:rPr>
          <w:b w:val="0"/>
          <w:bCs/>
        </w:rPr>
      </w:pPr>
      <w:r w:rsidRPr="000A2B9F">
        <w:rPr>
          <w:b w:val="0"/>
          <w:bCs/>
        </w:rPr>
        <w:t>The State uses a statistical formula (Z-test for two population proportions) to determine if two proportions (i.e., % of surveys received versus % of families in the target population) should be considered statistically different. A p-value less than 0.05 indicates a statistically significant difference between the proportions (non-representativeness).</w:t>
      </w:r>
    </w:p>
    <w:p w14:paraId="68A1CF22" w14:textId="77777777" w:rsidR="00090132" w:rsidRPr="00781112" w:rsidRDefault="00090132" w:rsidP="00AF550B">
      <w:pPr>
        <w:rPr>
          <w:rFonts w:cs="Arial"/>
          <w:iCs/>
          <w:color w:val="000000" w:themeColor="text1"/>
          <w:szCs w:val="16"/>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4C454EA6" w14:textId="77777777" w:rsidTr="002B4D97">
        <w:trPr>
          <w:tblHeader/>
        </w:trPr>
        <w:tc>
          <w:tcPr>
            <w:tcW w:w="8550" w:type="dxa"/>
            <w:shd w:val="clear" w:color="auto" w:fill="auto"/>
          </w:tcPr>
          <w:p w14:paraId="641A3E2E" w14:textId="371AB589"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shd w:val="clear" w:color="auto" w:fill="auto"/>
          </w:tcPr>
          <w:p w14:paraId="5DD050D6" w14:textId="45F46418"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5780CF1" w14:textId="46D0A53A" w:rsidTr="002B4D97">
        <w:tc>
          <w:tcPr>
            <w:tcW w:w="8550" w:type="dxa"/>
            <w:shd w:val="clear" w:color="auto" w:fill="auto"/>
          </w:tcPr>
          <w:p w14:paraId="43F69327" w14:textId="1229D955"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shd w:val="clear" w:color="auto" w:fill="auto"/>
          </w:tcPr>
          <w:p w14:paraId="1BA005BB" w14:textId="4AC8FD0F" w:rsidR="00564D9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12C8B638"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5A4C524D" w14:textId="77777777" w:rsidTr="0033429D">
        <w:trPr>
          <w:tblHeader/>
        </w:trPr>
        <w:tc>
          <w:tcPr>
            <w:tcW w:w="8550" w:type="dxa"/>
          </w:tcPr>
          <w:p w14:paraId="3B302184" w14:textId="3C2CBF4D"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4082973A" w14:textId="148FA82D"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BBB7A7B" w14:textId="530EE0A4" w:rsidTr="00E0321D">
        <w:tc>
          <w:tcPr>
            <w:tcW w:w="8550" w:type="dxa"/>
          </w:tcPr>
          <w:p w14:paraId="1C595FC3" w14:textId="00C59640"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694FDC95" w14:textId="251E84C1"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198B60F" w14:textId="5AD58247" w:rsidTr="00E0321D">
        <w:tc>
          <w:tcPr>
            <w:tcW w:w="8550" w:type="dxa"/>
          </w:tcPr>
          <w:p w14:paraId="7B6CA23B" w14:textId="49CC8BE9"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7CA6C425" w14:textId="5334C716"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20B301BF" w14:textId="77777777" w:rsidTr="00E0321D">
        <w:tc>
          <w:tcPr>
            <w:tcW w:w="8550" w:type="dxa"/>
          </w:tcPr>
          <w:p w14:paraId="5941AFA2" w14:textId="5CB4672E"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47FBC4A0" w14:textId="3B42F246" w:rsidR="00371D57" w:rsidRPr="00781112" w:rsidRDefault="00371D57" w:rsidP="00A018D4">
            <w:pPr>
              <w:jc w:val="center"/>
              <w:rPr>
                <w:rFonts w:cs="Arial"/>
                <w:color w:val="000000" w:themeColor="text1"/>
                <w:szCs w:val="16"/>
              </w:rPr>
            </w:pPr>
          </w:p>
        </w:tc>
      </w:tr>
    </w:tbl>
    <w:p w14:paraId="15C9B2F7" w14:textId="77777777" w:rsidR="00991685" w:rsidRDefault="00991685" w:rsidP="00221EC9">
      <w:pPr>
        <w:rPr>
          <w:rFonts w:cs="Arial"/>
          <w:b/>
          <w:color w:val="000000" w:themeColor="text1"/>
          <w:szCs w:val="16"/>
        </w:rPr>
      </w:pPr>
    </w:p>
    <w:p w14:paraId="1A0A4F5E" w14:textId="49FD4EED" w:rsidR="00221EC9" w:rsidRPr="00781112" w:rsidRDefault="00221EC9" w:rsidP="00221EC9">
      <w:pPr>
        <w:rPr>
          <w:rFonts w:cs="Arial"/>
          <w:b/>
          <w:color w:val="000000" w:themeColor="text1"/>
          <w:szCs w:val="16"/>
        </w:rPr>
      </w:pPr>
      <w:r w:rsidRPr="00781112">
        <w:rPr>
          <w:rFonts w:cs="Arial"/>
          <w:b/>
          <w:color w:val="000000" w:themeColor="text1"/>
          <w:szCs w:val="16"/>
        </w:rPr>
        <w:t>Provide additional information about this indicator (optional)</w:t>
      </w:r>
    </w:p>
    <w:p w14:paraId="7F22D6A0" w14:textId="105FEEC5" w:rsidR="009B37A2" w:rsidRPr="00781112" w:rsidRDefault="002B7490" w:rsidP="007D435F">
      <w:pPr>
        <w:rPr>
          <w:rFonts w:cs="Arial"/>
          <w:color w:val="000000" w:themeColor="text1"/>
          <w:szCs w:val="16"/>
        </w:rPr>
      </w:pPr>
      <w:r w:rsidRPr="00781112">
        <w:rPr>
          <w:rFonts w:cs="Arial"/>
          <w:color w:val="000000" w:themeColor="text1"/>
          <w:szCs w:val="16"/>
        </w:rPr>
        <w:t>See the published report on the OSDE-SES Data webpage at https://sde.ok.gov/documents/2012-10-01/special-education-data-and-reporting-part-b-children-ages-3-through-21.</w:t>
      </w:r>
      <w:r w:rsidRPr="00781112">
        <w:rPr>
          <w:rFonts w:cs="Arial"/>
          <w:color w:val="000000" w:themeColor="text1"/>
          <w:szCs w:val="16"/>
        </w:rPr>
        <w:br/>
      </w:r>
      <w:r w:rsidRPr="00781112">
        <w:rPr>
          <w:rFonts w:cs="Arial"/>
          <w:color w:val="000000" w:themeColor="text1"/>
          <w:szCs w:val="16"/>
        </w:rPr>
        <w:br/>
        <w:t>See Parent survey on the OSDE-SES Family Resources page at https://sde.ok.gov/part-b-parent-survey.</w:t>
      </w:r>
    </w:p>
    <w:p w14:paraId="1CDDE440" w14:textId="050C9555" w:rsidR="000A2C83" w:rsidRPr="00781112" w:rsidRDefault="00752BAF" w:rsidP="008645AD">
      <w:pPr>
        <w:pStyle w:val="Heading2"/>
      </w:pPr>
      <w:r w:rsidRPr="00781112">
        <w:t>8</w:t>
      </w:r>
      <w:r w:rsidR="001F6BAA" w:rsidRPr="00781112">
        <w:t xml:space="preserve"> </w:t>
      </w:r>
      <w:r w:rsidRPr="00781112">
        <w:t xml:space="preserve">- </w:t>
      </w:r>
      <w:r w:rsidR="000A2C83" w:rsidRPr="00781112">
        <w:t>Prior FFY Required Actions</w:t>
      </w:r>
    </w:p>
    <w:p w14:paraId="078A2B9E" w14:textId="64337A5A" w:rsidR="000A2C83" w:rsidRPr="00781112" w:rsidRDefault="002B7490" w:rsidP="000A2C83">
      <w:pPr>
        <w:rPr>
          <w:rFonts w:cs="Arial"/>
          <w:color w:val="000000" w:themeColor="text1"/>
          <w:szCs w:val="16"/>
        </w:rPr>
      </w:pPr>
      <w:r w:rsidRPr="00781112">
        <w:rPr>
          <w:rFonts w:cs="Arial"/>
          <w:color w:val="000000" w:themeColor="text1"/>
          <w:szCs w:val="16"/>
        </w:rPr>
        <w:t xml:space="preserve">In its FFY 2021 the State must describe the analysis of the response rate including any nonresponse bias that was identified, and the steps taken to reduce any identified bias and promote response from a broad cross section of parents of children with disabilities as required by the Measurement Table. </w:t>
      </w:r>
      <w:r w:rsidRPr="00781112">
        <w:rPr>
          <w:rFonts w:cs="Arial"/>
          <w:color w:val="000000" w:themeColor="text1"/>
          <w:szCs w:val="16"/>
        </w:rPr>
        <w:br/>
      </w:r>
      <w:r w:rsidRPr="00781112">
        <w:rPr>
          <w:rFonts w:cs="Arial"/>
          <w:color w:val="000000" w:themeColor="text1"/>
          <w:szCs w:val="16"/>
        </w:rPr>
        <w:br/>
        <w:t xml:space="preserve">In the FFY 2021 SPP/APR, the State must report whether its FFY 2021 data are from a response group that is representative of the demographics of children receiving special education services, and, if not, the actions the State is taking to address this issue. The State must also include its analysis of the extent to which the demographics of the parents responding are representative of the demographics of children receiving special education services. </w:t>
      </w:r>
    </w:p>
    <w:p w14:paraId="5AB800FF" w14:textId="58A809DB" w:rsidR="000A2C83" w:rsidRPr="00781112" w:rsidRDefault="007639D7" w:rsidP="004369B2">
      <w:pPr>
        <w:rPr>
          <w:b/>
          <w:color w:val="000000" w:themeColor="text1"/>
        </w:rPr>
      </w:pPr>
      <w:r>
        <w:rPr>
          <w:b/>
          <w:color w:val="000000" w:themeColor="text1"/>
        </w:rPr>
        <w:t>Response to actions required in FFY 2020 SPP/APR</w:t>
      </w:r>
    </w:p>
    <w:p w14:paraId="03E9CB46" w14:textId="594F3FDD" w:rsidR="007757B1" w:rsidRPr="00781112" w:rsidRDefault="002B7490" w:rsidP="007757B1">
      <w:pPr>
        <w:rPr>
          <w:rFonts w:cs="Arial"/>
          <w:color w:val="000000" w:themeColor="text1"/>
          <w:szCs w:val="16"/>
        </w:rPr>
      </w:pPr>
      <w:r w:rsidRPr="00781112">
        <w:rPr>
          <w:rFonts w:cs="Arial"/>
          <w:color w:val="000000" w:themeColor="text1"/>
          <w:szCs w:val="16"/>
        </w:rPr>
        <w:t xml:space="preserve">The state does not collect parent demographics, and therefore cannot say definitively whether the demographics of responding parents are representative of the demographics of children receiving services. </w:t>
      </w:r>
      <w:r w:rsidRPr="00781112">
        <w:rPr>
          <w:rFonts w:cs="Arial"/>
          <w:color w:val="000000" w:themeColor="text1"/>
          <w:szCs w:val="16"/>
        </w:rPr>
        <w:br/>
      </w:r>
      <w:r w:rsidRPr="00781112">
        <w:rPr>
          <w:rFonts w:cs="Arial"/>
          <w:color w:val="000000" w:themeColor="text1"/>
          <w:szCs w:val="16"/>
        </w:rPr>
        <w:br/>
        <w:t>The required analysis on child demographics is provided in a previous section.</w:t>
      </w:r>
    </w:p>
    <w:p w14:paraId="5B521A52" w14:textId="17857299" w:rsidR="00221EC9" w:rsidRPr="00781112" w:rsidRDefault="00752BAF" w:rsidP="008645AD">
      <w:pPr>
        <w:pStyle w:val="Heading2"/>
      </w:pPr>
      <w:r w:rsidRPr="00781112">
        <w:t>8 - OSEP Response</w:t>
      </w:r>
    </w:p>
    <w:p w14:paraId="1A55D397" w14:textId="0DDAC080" w:rsidR="009B37A2" w:rsidRPr="00781112" w:rsidRDefault="002B7490" w:rsidP="001F692C">
      <w:pPr>
        <w:rPr>
          <w:rFonts w:cs="Arial"/>
          <w:color w:val="000000" w:themeColor="text1"/>
          <w:szCs w:val="16"/>
        </w:rPr>
      </w:pPr>
      <w:r w:rsidRPr="00781112">
        <w:rPr>
          <w:rFonts w:cs="Arial"/>
          <w:color w:val="000000" w:themeColor="text1"/>
          <w:szCs w:val="16"/>
        </w:rPr>
        <w:t xml:space="preserve">The State analyzed the response rate to identify potential nonresponse bias; however, the State did not identify steps to reduce any identified bias and promote response from a broad cross section of parents of children with disabilities, as required by the Measurement Table. </w:t>
      </w:r>
    </w:p>
    <w:p w14:paraId="13389642" w14:textId="758A1D0A" w:rsidR="00221EC9" w:rsidRPr="00781112" w:rsidRDefault="00752BAF" w:rsidP="008645AD">
      <w:pPr>
        <w:pStyle w:val="Heading2"/>
      </w:pPr>
      <w:r w:rsidRPr="00781112">
        <w:t>8 - Required Actions</w:t>
      </w:r>
    </w:p>
    <w:p w14:paraId="48F68B87" w14:textId="7D160B08" w:rsidR="009B37A2" w:rsidRPr="00781112" w:rsidRDefault="002B7490" w:rsidP="001F692C">
      <w:pPr>
        <w:rPr>
          <w:rFonts w:cs="Arial"/>
          <w:color w:val="000000" w:themeColor="text1"/>
          <w:szCs w:val="16"/>
        </w:rPr>
      </w:pPr>
      <w:r w:rsidRPr="00781112">
        <w:rPr>
          <w:rFonts w:cs="Arial"/>
          <w:color w:val="000000" w:themeColor="text1"/>
          <w:szCs w:val="16"/>
        </w:rPr>
        <w:t xml:space="preserve">In the FFY 2022 SPP/APR, the State must report whether the FFY 2022 data are from a response group that is representative of the demographics of children receiving special education services, and, if not, the actions the State is taking to address this issue. The State must also include its analysis of the extent to which the demographics of the parents responding are representative of the demographics of children receiving special education services. </w:t>
      </w:r>
      <w:r w:rsidRPr="00781112">
        <w:rPr>
          <w:rFonts w:cs="Arial"/>
          <w:color w:val="000000" w:themeColor="text1"/>
          <w:szCs w:val="16"/>
        </w:rPr>
        <w:br/>
      </w:r>
      <w:r w:rsidRPr="00781112">
        <w:rPr>
          <w:rFonts w:cs="Arial"/>
          <w:color w:val="000000" w:themeColor="text1"/>
          <w:szCs w:val="16"/>
        </w:rPr>
        <w:br/>
        <w:t>In the FFY 2022 SPP/APR, the State must analyze the response rate to identify potential nonresponse bias and report on steps taken to reduce any identified bias and promote response from a broad cross section of parents of children with disabilities.</w:t>
      </w:r>
    </w:p>
    <w:p w14:paraId="6D95E736"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E39FDA6" w14:textId="025763A2" w:rsidR="00D03701" w:rsidRPr="00781112" w:rsidRDefault="00D03701" w:rsidP="000444E2">
      <w:pPr>
        <w:pStyle w:val="Heading1"/>
        <w:rPr>
          <w:color w:val="000000" w:themeColor="text1"/>
          <w:sz w:val="22"/>
        </w:rPr>
      </w:pPr>
      <w:r w:rsidRPr="00781112">
        <w:rPr>
          <w:color w:val="000000" w:themeColor="text1"/>
          <w:sz w:val="22"/>
        </w:rPr>
        <w:t>Indicator 9: Disproportionate Representation</w:t>
      </w:r>
    </w:p>
    <w:p w14:paraId="30C4375D" w14:textId="77777777" w:rsidR="00AF5AFB" w:rsidRPr="00781112" w:rsidRDefault="00AF5AFB" w:rsidP="00A018D4">
      <w:pPr>
        <w:rPr>
          <w:color w:val="000000" w:themeColor="text1"/>
          <w:szCs w:val="20"/>
        </w:rPr>
      </w:pPr>
      <w:bookmarkStart w:id="45" w:name="_Toc384383343"/>
      <w:bookmarkStart w:id="46" w:name="_Toc392159311"/>
      <w:r w:rsidRPr="00781112">
        <w:rPr>
          <w:b/>
          <w:color w:val="000000" w:themeColor="text1"/>
          <w:sz w:val="20"/>
          <w:szCs w:val="20"/>
        </w:rPr>
        <w:t>Instructions and Measurement</w:t>
      </w:r>
    </w:p>
    <w:p w14:paraId="61C479DB" w14:textId="1E252334"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2539829F"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4983BB5F" w14:textId="28C83F84"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6D2519CF" w14:textId="77777777" w:rsidR="00A66715" w:rsidRPr="00781112" w:rsidRDefault="00A66715" w:rsidP="004369B2">
      <w:pPr>
        <w:rPr>
          <w:color w:val="000000" w:themeColor="text1"/>
        </w:rPr>
      </w:pPr>
      <w:r w:rsidRPr="00781112">
        <w:rPr>
          <w:b/>
          <w:color w:val="000000" w:themeColor="text1"/>
        </w:rPr>
        <w:t>Data Source</w:t>
      </w:r>
    </w:p>
    <w:p w14:paraId="435C1BC0" w14:textId="1F2EA9FD"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3FA170D6" w14:textId="77777777" w:rsidR="00A66715" w:rsidRPr="00781112" w:rsidRDefault="00A66715" w:rsidP="004369B2">
      <w:pPr>
        <w:rPr>
          <w:color w:val="000000" w:themeColor="text1"/>
        </w:rPr>
      </w:pPr>
      <w:r w:rsidRPr="00781112">
        <w:rPr>
          <w:b/>
          <w:color w:val="000000" w:themeColor="text1"/>
        </w:rPr>
        <w:t>Measurement</w:t>
      </w:r>
    </w:p>
    <w:p w14:paraId="477AA533" w14:textId="06ADBA36"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47207609"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2F72A4A6" w14:textId="26750A87" w:rsidR="00A66715" w:rsidRPr="00781112" w:rsidRDefault="0016730D" w:rsidP="00286BDF">
      <w:pPr>
        <w:rPr>
          <w:rFonts w:cs="Arial"/>
          <w:color w:val="000000" w:themeColor="text1"/>
          <w:szCs w:val="16"/>
        </w:rPr>
      </w:pPr>
      <w:r w:rsidRPr="00781112">
        <w:rPr>
          <w:rFonts w:cs="Arial"/>
          <w:color w:val="000000" w:themeColor="text1"/>
          <w:szCs w:val="16"/>
        </w:rPr>
        <w:t>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etc.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2021 reporting period (i.e., after June 30, 2022).</w:t>
      </w:r>
    </w:p>
    <w:p w14:paraId="5C234527" w14:textId="77777777" w:rsidR="00A66715" w:rsidRPr="00781112" w:rsidRDefault="00A66715" w:rsidP="004369B2">
      <w:pPr>
        <w:rPr>
          <w:color w:val="000000" w:themeColor="text1"/>
        </w:rPr>
      </w:pPr>
      <w:r w:rsidRPr="00781112">
        <w:rPr>
          <w:b/>
          <w:color w:val="000000" w:themeColor="text1"/>
        </w:rPr>
        <w:t>Instructions</w:t>
      </w:r>
    </w:p>
    <w:p w14:paraId="66307925" w14:textId="257F2E4C"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Pr="00781112">
        <w:rPr>
          <w:rFonts w:cs="Arial"/>
          <w:color w:val="000000" w:themeColor="text1"/>
          <w:szCs w:val="16"/>
        </w:rPr>
        <w:t>6 through 21 served under IDEA, aggregated across all disability categories.</w:t>
      </w:r>
    </w:p>
    <w:p w14:paraId="6CA47C85"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7D49F2B9" w14:textId="77777777" w:rsidR="00A66715" w:rsidRPr="00781112" w:rsidRDefault="00A66715"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18F19F84"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08814B9F"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633EBCDF"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78E093FF" w14:textId="732199BB" w:rsidR="00A66715" w:rsidRPr="00781112" w:rsidRDefault="0016730D"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 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1A6C01D0" w14:textId="1BD83E55" w:rsidR="00AF5AFB" w:rsidRPr="00781112" w:rsidRDefault="00400C56" w:rsidP="008645AD">
      <w:pPr>
        <w:pStyle w:val="Heading2"/>
      </w:pPr>
      <w:bookmarkStart w:id="47" w:name="_Toc384383344"/>
      <w:bookmarkStart w:id="48" w:name="_Toc392159312"/>
      <w:bookmarkEnd w:id="45"/>
      <w:bookmarkEnd w:id="46"/>
      <w:r w:rsidRPr="00781112">
        <w:t>9</w:t>
      </w:r>
      <w:r w:rsidR="000D746C" w:rsidRPr="00781112">
        <w:t xml:space="preserve"> </w:t>
      </w:r>
      <w:r w:rsidRPr="00781112">
        <w:t xml:space="preserve">- </w:t>
      </w:r>
      <w:r w:rsidR="00AF5AFB" w:rsidRPr="00781112">
        <w:t>Indicator Data</w:t>
      </w:r>
    </w:p>
    <w:p w14:paraId="3B629025" w14:textId="77777777" w:rsidR="0091098C" w:rsidRPr="00781112" w:rsidRDefault="0091098C" w:rsidP="004369B2">
      <w:pPr>
        <w:rPr>
          <w:color w:val="000000" w:themeColor="text1"/>
        </w:rPr>
      </w:pPr>
      <w:r w:rsidRPr="00781112">
        <w:rPr>
          <w:b/>
          <w:color w:val="000000" w:themeColor="text1"/>
        </w:rPr>
        <w:t>Not Applicable</w:t>
      </w:r>
    </w:p>
    <w:p w14:paraId="26955027" w14:textId="78EADA59" w:rsidR="003E7FC1" w:rsidRPr="00781112" w:rsidRDefault="00E54DDA">
      <w:pPr>
        <w:rPr>
          <w:b/>
          <w:color w:val="000000" w:themeColor="text1"/>
        </w:rPr>
      </w:pPr>
      <w:r w:rsidRPr="00781112">
        <w:rPr>
          <w:b/>
          <w:color w:val="000000" w:themeColor="text1"/>
        </w:rPr>
        <w:t>Select yes if this indicator is not applicable.</w:t>
      </w:r>
    </w:p>
    <w:p w14:paraId="6AB001BB" w14:textId="1DB937E1" w:rsidR="00043AC9" w:rsidRPr="00781112" w:rsidRDefault="00043AC9" w:rsidP="004369B2">
      <w:pPr>
        <w:rPr>
          <w:rFonts w:cs="Arial"/>
          <w:color w:val="000000" w:themeColor="text1"/>
          <w:szCs w:val="16"/>
        </w:rPr>
      </w:pPr>
      <w:r w:rsidRPr="00781112">
        <w:rPr>
          <w:rFonts w:cs="Arial"/>
          <w:color w:val="000000" w:themeColor="text1"/>
          <w:szCs w:val="16"/>
        </w:rPr>
        <w:t>NO</w:t>
      </w:r>
    </w:p>
    <w:p w14:paraId="3A71D697" w14:textId="346BA4D1"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5182274F" w14:textId="77777777" w:rsidTr="00123D76">
        <w:trPr>
          <w:trHeight w:val="311"/>
          <w:tblHeader/>
        </w:trPr>
        <w:tc>
          <w:tcPr>
            <w:tcW w:w="1797" w:type="dxa"/>
          </w:tcPr>
          <w:p w14:paraId="1A2818C6"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0F4B2975"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610EE192" w14:textId="77777777" w:rsidTr="00123D76">
        <w:trPr>
          <w:trHeight w:val="311"/>
        </w:trPr>
        <w:tc>
          <w:tcPr>
            <w:tcW w:w="1797" w:type="dxa"/>
            <w:vAlign w:val="center"/>
          </w:tcPr>
          <w:p w14:paraId="092AF3EE" w14:textId="300E0F13" w:rsidR="00956DB0" w:rsidRPr="00781112" w:rsidRDefault="00956DB0" w:rsidP="00123D76">
            <w:pPr>
              <w:jc w:val="center"/>
              <w:rPr>
                <w:bCs/>
                <w:color w:val="000000" w:themeColor="text1"/>
              </w:rPr>
            </w:pPr>
            <w:r w:rsidRPr="00781112">
              <w:rPr>
                <w:bCs/>
                <w:color w:val="000000" w:themeColor="text1"/>
              </w:rPr>
              <w:t>2020</w:t>
            </w:r>
          </w:p>
        </w:tc>
        <w:tc>
          <w:tcPr>
            <w:tcW w:w="1798" w:type="dxa"/>
            <w:vAlign w:val="center"/>
          </w:tcPr>
          <w:p w14:paraId="4FDCB4BF" w14:textId="0D2A0C74" w:rsidR="00956DB0" w:rsidRPr="00781112" w:rsidRDefault="00956DB0" w:rsidP="00123D76">
            <w:pPr>
              <w:jc w:val="center"/>
              <w:rPr>
                <w:bCs/>
                <w:color w:val="000000" w:themeColor="text1"/>
              </w:rPr>
            </w:pPr>
            <w:r w:rsidRPr="00781112">
              <w:rPr>
                <w:bCs/>
                <w:color w:val="000000" w:themeColor="text1"/>
              </w:rPr>
              <w:t>0.00%</w:t>
            </w:r>
          </w:p>
        </w:tc>
      </w:tr>
    </w:tbl>
    <w:p w14:paraId="209EB354"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29257DEC" w14:textId="77777777" w:rsidTr="002B4D97">
        <w:trPr>
          <w:trHeight w:val="350"/>
        </w:trPr>
        <w:tc>
          <w:tcPr>
            <w:tcW w:w="833" w:type="pct"/>
            <w:tcBorders>
              <w:bottom w:val="single" w:sz="4" w:space="0" w:color="auto"/>
            </w:tcBorders>
            <w:shd w:val="clear" w:color="auto" w:fill="auto"/>
          </w:tcPr>
          <w:p w14:paraId="2ACD0221"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5D764B6" w14:textId="19C54EAA" w:rsidR="006357C5" w:rsidRPr="00781112" w:rsidRDefault="002B7490" w:rsidP="00B6413B">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033F60DB" w14:textId="27C2FA3D" w:rsidR="006357C5"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vAlign w:val="center"/>
          </w:tcPr>
          <w:p w14:paraId="317350A8" w14:textId="7D4D6C23" w:rsidR="006357C5"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vAlign w:val="center"/>
          </w:tcPr>
          <w:p w14:paraId="2FE9FF1F" w14:textId="6B14CCED"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vAlign w:val="center"/>
          </w:tcPr>
          <w:p w14:paraId="3EED1AAF" w14:textId="5F49372A" w:rsidR="006357C5" w:rsidRPr="00781112" w:rsidRDefault="002B7490" w:rsidP="00B6413B">
            <w:pPr>
              <w:jc w:val="center"/>
              <w:rPr>
                <w:rFonts w:cs="Arial"/>
                <w:b/>
                <w:color w:val="000000" w:themeColor="text1"/>
                <w:szCs w:val="16"/>
              </w:rPr>
            </w:pPr>
            <w:r w:rsidRPr="00781112">
              <w:rPr>
                <w:rFonts w:cs="Arial"/>
                <w:b/>
                <w:color w:val="000000" w:themeColor="text1"/>
                <w:szCs w:val="16"/>
              </w:rPr>
              <w:t>2020</w:t>
            </w:r>
          </w:p>
        </w:tc>
      </w:tr>
      <w:tr w:rsidR="005C29F8" w:rsidRPr="00781112" w14:paraId="2B1048CB" w14:textId="77777777" w:rsidTr="002B4D97">
        <w:trPr>
          <w:trHeight w:val="357"/>
        </w:trPr>
        <w:tc>
          <w:tcPr>
            <w:tcW w:w="833" w:type="pct"/>
            <w:shd w:val="clear" w:color="auto" w:fill="auto"/>
          </w:tcPr>
          <w:p w14:paraId="1E5C921D" w14:textId="10B75CEC" w:rsidR="006357C5" w:rsidRPr="00781112" w:rsidRDefault="006357C5" w:rsidP="006357C5">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605E3208" w14:textId="6058696A"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18B25266" w14:textId="3AD0FECB"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0C0FBF57" w14:textId="7ECB922D"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532C2D7E" w14:textId="62B3BFC8"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60DA2026" w14:textId="24D14A2D"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3159C03B" w14:textId="77777777" w:rsidTr="002B4D97">
        <w:trPr>
          <w:trHeight w:val="85"/>
        </w:trPr>
        <w:tc>
          <w:tcPr>
            <w:tcW w:w="833" w:type="pct"/>
            <w:shd w:val="clear" w:color="auto" w:fill="auto"/>
          </w:tcPr>
          <w:p w14:paraId="2AC5584F" w14:textId="77777777" w:rsidR="006357C5" w:rsidRPr="00781112" w:rsidRDefault="006357C5" w:rsidP="00B6413B">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6FD989E4" w14:textId="34237C82" w:rsidR="006357C5" w:rsidRPr="00781112" w:rsidRDefault="002B7490" w:rsidP="00A018D4">
            <w:pPr>
              <w:jc w:val="center"/>
              <w:rPr>
                <w:rFonts w:cs="Arial"/>
                <w:color w:val="000000" w:themeColor="text1"/>
                <w:szCs w:val="16"/>
              </w:rPr>
            </w:pPr>
            <w:r w:rsidRPr="00781112">
              <w:rPr>
                <w:rFonts w:cs="Arial"/>
                <w:color w:val="000000" w:themeColor="text1"/>
                <w:szCs w:val="16"/>
              </w:rPr>
              <w:t>0.20%</w:t>
            </w:r>
          </w:p>
        </w:tc>
        <w:tc>
          <w:tcPr>
            <w:tcW w:w="833" w:type="pct"/>
            <w:shd w:val="clear" w:color="auto" w:fill="auto"/>
          </w:tcPr>
          <w:p w14:paraId="078BDCB4" w14:textId="6678F601"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1B9E9606" w14:textId="2C899E5A"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2DEE133C" w14:textId="4FA56B6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164C156" w14:textId="136C88F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38D93E0F" w14:textId="77777777" w:rsidR="00870121" w:rsidRPr="00781112" w:rsidRDefault="00870121" w:rsidP="004369B2">
      <w:pPr>
        <w:rPr>
          <w:color w:val="000000" w:themeColor="text1"/>
        </w:rPr>
      </w:pPr>
    </w:p>
    <w:p w14:paraId="1D3DD603" w14:textId="00F457CF" w:rsidR="0016730D" w:rsidRPr="00781112" w:rsidRDefault="0016730D" w:rsidP="004369B2">
      <w:pPr>
        <w:rPr>
          <w:color w:val="000000" w:themeColor="text1"/>
        </w:rPr>
      </w:pPr>
      <w:r w:rsidRPr="00781112">
        <w:rPr>
          <w:b/>
          <w:color w:val="000000" w:themeColor="text1"/>
        </w:rPr>
        <w:t>Targets</w:t>
      </w:r>
    </w:p>
    <w:tbl>
      <w:tblPr>
        <w:tblW w:w="4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79"/>
        <w:gridCol w:w="1585"/>
        <w:gridCol w:w="1698"/>
        <w:gridCol w:w="1699"/>
        <w:gridCol w:w="1699"/>
        <w:gridCol w:w="1697"/>
      </w:tblGrid>
      <w:tr w:rsidR="00B14519" w:rsidRPr="00781112" w14:paraId="3B5E697E" w14:textId="22491944" w:rsidTr="00451D7E">
        <w:trPr>
          <w:trHeight w:val="307"/>
        </w:trPr>
        <w:tc>
          <w:tcPr>
            <w:tcW w:w="278" w:type="pct"/>
            <w:tcBorders>
              <w:bottom w:val="single" w:sz="4" w:space="0" w:color="auto"/>
            </w:tcBorders>
            <w:shd w:val="clear" w:color="auto" w:fill="auto"/>
          </w:tcPr>
          <w:p w14:paraId="6847FBDE" w14:textId="77777777" w:rsidR="00B14519" w:rsidRPr="00781112" w:rsidRDefault="00B14519" w:rsidP="00AD5583">
            <w:pPr>
              <w:jc w:val="center"/>
              <w:rPr>
                <w:b/>
                <w:color w:val="000000" w:themeColor="text1"/>
              </w:rPr>
            </w:pPr>
            <w:r w:rsidRPr="00781112">
              <w:rPr>
                <w:b/>
                <w:color w:val="000000" w:themeColor="text1"/>
              </w:rPr>
              <w:t>FFY</w:t>
            </w:r>
          </w:p>
        </w:tc>
        <w:tc>
          <w:tcPr>
            <w:tcW w:w="895" w:type="pct"/>
            <w:shd w:val="clear" w:color="auto" w:fill="auto"/>
          </w:tcPr>
          <w:p w14:paraId="2C965821" w14:textId="77777777" w:rsidR="00B14519" w:rsidRPr="00781112" w:rsidRDefault="00B14519" w:rsidP="00AD5583">
            <w:pPr>
              <w:jc w:val="center"/>
              <w:rPr>
                <w:b/>
                <w:color w:val="000000" w:themeColor="text1"/>
              </w:rPr>
            </w:pPr>
            <w:r w:rsidRPr="00781112">
              <w:rPr>
                <w:b/>
                <w:color w:val="000000" w:themeColor="text1"/>
              </w:rPr>
              <w:t>2021</w:t>
            </w:r>
          </w:p>
        </w:tc>
        <w:tc>
          <w:tcPr>
            <w:tcW w:w="957" w:type="pct"/>
          </w:tcPr>
          <w:p w14:paraId="695B1CC5" w14:textId="0A8E7C74" w:rsidR="00B14519" w:rsidRPr="00781112" w:rsidRDefault="00B14519" w:rsidP="00AD5583">
            <w:pPr>
              <w:jc w:val="center"/>
              <w:rPr>
                <w:b/>
                <w:color w:val="000000" w:themeColor="text1"/>
              </w:rPr>
            </w:pPr>
            <w:r w:rsidRPr="00781112">
              <w:rPr>
                <w:rFonts w:cs="Arial"/>
                <w:b/>
                <w:color w:val="000000" w:themeColor="text1"/>
                <w:szCs w:val="16"/>
              </w:rPr>
              <w:t>2022</w:t>
            </w:r>
          </w:p>
        </w:tc>
        <w:tc>
          <w:tcPr>
            <w:tcW w:w="957" w:type="pct"/>
          </w:tcPr>
          <w:p w14:paraId="676B8DF3" w14:textId="1749272A" w:rsidR="00B14519" w:rsidRPr="00781112" w:rsidRDefault="00B14519" w:rsidP="00AD5583">
            <w:pPr>
              <w:jc w:val="center"/>
              <w:rPr>
                <w:b/>
                <w:color w:val="000000" w:themeColor="text1"/>
              </w:rPr>
            </w:pPr>
            <w:r w:rsidRPr="00781112">
              <w:rPr>
                <w:rFonts w:cs="Arial"/>
                <w:b/>
                <w:color w:val="000000" w:themeColor="text1"/>
                <w:szCs w:val="16"/>
              </w:rPr>
              <w:t>2023</w:t>
            </w:r>
          </w:p>
        </w:tc>
        <w:tc>
          <w:tcPr>
            <w:tcW w:w="957" w:type="pct"/>
          </w:tcPr>
          <w:p w14:paraId="2431A20F" w14:textId="6C70327F" w:rsidR="00B14519" w:rsidRPr="00781112" w:rsidRDefault="00B14519" w:rsidP="00AD5583">
            <w:pPr>
              <w:jc w:val="center"/>
              <w:rPr>
                <w:b/>
                <w:color w:val="000000" w:themeColor="text1"/>
              </w:rPr>
            </w:pPr>
            <w:r w:rsidRPr="00781112">
              <w:rPr>
                <w:rFonts w:cs="Arial"/>
                <w:b/>
                <w:color w:val="000000" w:themeColor="text1"/>
                <w:szCs w:val="16"/>
              </w:rPr>
              <w:t>2024</w:t>
            </w:r>
          </w:p>
        </w:tc>
        <w:tc>
          <w:tcPr>
            <w:tcW w:w="957" w:type="pct"/>
          </w:tcPr>
          <w:p w14:paraId="1F22D9D1" w14:textId="274E33D7" w:rsidR="00B14519" w:rsidRPr="00781112" w:rsidRDefault="00B14519" w:rsidP="00AD5583">
            <w:pPr>
              <w:jc w:val="center"/>
              <w:rPr>
                <w:b/>
                <w:color w:val="000000" w:themeColor="text1"/>
              </w:rPr>
            </w:pPr>
            <w:r w:rsidRPr="00781112">
              <w:rPr>
                <w:rFonts w:cs="Arial"/>
                <w:b/>
                <w:color w:val="000000" w:themeColor="text1"/>
                <w:szCs w:val="16"/>
              </w:rPr>
              <w:t>2025</w:t>
            </w:r>
          </w:p>
        </w:tc>
      </w:tr>
      <w:tr w:rsidR="00B14519" w:rsidRPr="00781112" w14:paraId="48E9BF63" w14:textId="16949127" w:rsidTr="00451D7E">
        <w:trPr>
          <w:trHeight w:val="313"/>
        </w:trPr>
        <w:tc>
          <w:tcPr>
            <w:tcW w:w="278" w:type="pct"/>
            <w:shd w:val="clear" w:color="auto" w:fill="auto"/>
            <w:vAlign w:val="center"/>
          </w:tcPr>
          <w:p w14:paraId="3001E3D6" w14:textId="77777777" w:rsidR="00B14519" w:rsidRPr="00781112" w:rsidRDefault="00B14519" w:rsidP="00AD5583">
            <w:pPr>
              <w:rPr>
                <w:rFonts w:cs="Arial"/>
                <w:color w:val="000000" w:themeColor="text1"/>
                <w:szCs w:val="16"/>
              </w:rPr>
            </w:pPr>
            <w:r w:rsidRPr="00781112">
              <w:rPr>
                <w:rFonts w:cs="Arial"/>
                <w:color w:val="000000" w:themeColor="text1"/>
                <w:szCs w:val="16"/>
              </w:rPr>
              <w:t xml:space="preserve">Target </w:t>
            </w:r>
          </w:p>
        </w:tc>
        <w:tc>
          <w:tcPr>
            <w:tcW w:w="895" w:type="pct"/>
            <w:shd w:val="clear" w:color="auto" w:fill="auto"/>
            <w:vAlign w:val="center"/>
          </w:tcPr>
          <w:p w14:paraId="538E5325" w14:textId="0C17771E" w:rsidR="00B14519" w:rsidRPr="00781112" w:rsidRDefault="00B14519" w:rsidP="00AD5583">
            <w:pPr>
              <w:jc w:val="center"/>
              <w:rPr>
                <w:rFonts w:cs="Arial"/>
                <w:color w:val="000000" w:themeColor="text1"/>
                <w:szCs w:val="16"/>
              </w:rPr>
            </w:pPr>
            <w:r w:rsidRPr="00781112">
              <w:rPr>
                <w:rFonts w:cs="Arial"/>
                <w:color w:val="000000" w:themeColor="text1"/>
                <w:szCs w:val="16"/>
              </w:rPr>
              <w:t>0%</w:t>
            </w:r>
          </w:p>
        </w:tc>
        <w:tc>
          <w:tcPr>
            <w:tcW w:w="957" w:type="pct"/>
          </w:tcPr>
          <w:p w14:paraId="5C91471A" w14:textId="351E6F13" w:rsidR="00B14519" w:rsidRPr="00781112" w:rsidRDefault="00B14519" w:rsidP="00AD5583">
            <w:pPr>
              <w:jc w:val="center"/>
              <w:rPr>
                <w:rFonts w:cs="Arial"/>
                <w:color w:val="000000" w:themeColor="text1"/>
                <w:szCs w:val="16"/>
              </w:rPr>
            </w:pPr>
            <w:r w:rsidRPr="00781112">
              <w:rPr>
                <w:color w:val="000000" w:themeColor="text1"/>
                <w:szCs w:val="16"/>
              </w:rPr>
              <w:t>0%</w:t>
            </w:r>
          </w:p>
        </w:tc>
        <w:tc>
          <w:tcPr>
            <w:tcW w:w="957" w:type="pct"/>
          </w:tcPr>
          <w:p w14:paraId="4C61AAA7" w14:textId="75046312" w:rsidR="00B14519" w:rsidRPr="00781112" w:rsidRDefault="00B14519" w:rsidP="00AD5583">
            <w:pPr>
              <w:jc w:val="center"/>
              <w:rPr>
                <w:rFonts w:cs="Arial"/>
                <w:color w:val="000000" w:themeColor="text1"/>
                <w:szCs w:val="16"/>
              </w:rPr>
            </w:pPr>
            <w:r w:rsidRPr="00781112">
              <w:rPr>
                <w:color w:val="000000" w:themeColor="text1"/>
                <w:szCs w:val="16"/>
              </w:rPr>
              <w:t>0%</w:t>
            </w:r>
          </w:p>
        </w:tc>
        <w:tc>
          <w:tcPr>
            <w:tcW w:w="957" w:type="pct"/>
          </w:tcPr>
          <w:p w14:paraId="59DCAC52" w14:textId="3AB87F0D" w:rsidR="00B14519" w:rsidRPr="00781112" w:rsidRDefault="00B14519" w:rsidP="00AD5583">
            <w:pPr>
              <w:jc w:val="center"/>
              <w:rPr>
                <w:rFonts w:cs="Arial"/>
                <w:color w:val="000000" w:themeColor="text1"/>
                <w:szCs w:val="16"/>
              </w:rPr>
            </w:pPr>
            <w:r w:rsidRPr="00781112">
              <w:rPr>
                <w:color w:val="000000" w:themeColor="text1"/>
                <w:szCs w:val="16"/>
              </w:rPr>
              <w:t>0%</w:t>
            </w:r>
          </w:p>
        </w:tc>
        <w:tc>
          <w:tcPr>
            <w:tcW w:w="957" w:type="pct"/>
          </w:tcPr>
          <w:p w14:paraId="01CBB5F6" w14:textId="30E27615" w:rsidR="00B14519" w:rsidRPr="00781112" w:rsidRDefault="00B14519" w:rsidP="00AD5583">
            <w:pPr>
              <w:jc w:val="center"/>
              <w:rPr>
                <w:rFonts w:cs="Arial"/>
                <w:color w:val="000000" w:themeColor="text1"/>
                <w:szCs w:val="16"/>
              </w:rPr>
            </w:pPr>
            <w:r w:rsidRPr="00781112">
              <w:rPr>
                <w:color w:val="000000" w:themeColor="text1"/>
                <w:szCs w:val="16"/>
              </w:rPr>
              <w:t>0%</w:t>
            </w:r>
          </w:p>
        </w:tc>
      </w:tr>
    </w:tbl>
    <w:bookmarkEnd w:id="47"/>
    <w:bookmarkEnd w:id="48"/>
    <w:p w14:paraId="77101B89" w14:textId="6B13A014" w:rsidR="00D03701" w:rsidRPr="00781112" w:rsidRDefault="0047313F">
      <w:pPr>
        <w:rPr>
          <w:b/>
          <w:color w:val="000000" w:themeColor="text1"/>
        </w:rPr>
      </w:pPr>
      <w:r>
        <w:rPr>
          <w:b/>
          <w:color w:val="000000" w:themeColor="text1"/>
        </w:rPr>
        <w:t>FFY 2021 SPP/APR Data</w:t>
      </w:r>
    </w:p>
    <w:p w14:paraId="5771AAAE" w14:textId="3421DD27" w:rsidR="003E7FC1" w:rsidRPr="00781112" w:rsidRDefault="003E7FC1">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122DE20F" w14:textId="4373CB68" w:rsidR="003E7FC1" w:rsidRPr="00781112" w:rsidRDefault="003E7FC1">
      <w:pPr>
        <w:rPr>
          <w:rFonts w:cs="Arial"/>
          <w:color w:val="000000" w:themeColor="text1"/>
          <w:szCs w:val="16"/>
        </w:rPr>
      </w:pPr>
      <w:r w:rsidRPr="00781112">
        <w:rPr>
          <w:rFonts w:cs="Arial"/>
          <w:color w:val="000000" w:themeColor="text1"/>
          <w:szCs w:val="16"/>
        </w:rPr>
        <w:t>YES</w:t>
      </w:r>
    </w:p>
    <w:p w14:paraId="76B8CAF9" w14:textId="53FE4658" w:rsidR="003E7FC1" w:rsidRPr="00781112" w:rsidRDefault="003E7FC1">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62270301" w14:textId="20B3D538" w:rsidR="003E7FC1" w:rsidRPr="00781112" w:rsidRDefault="003E7FC1" w:rsidP="004369B2">
      <w:pPr>
        <w:rPr>
          <w:rFonts w:cs="Arial"/>
          <w:color w:val="000000" w:themeColor="text1"/>
          <w:szCs w:val="16"/>
        </w:rPr>
      </w:pPr>
      <w:r w:rsidRPr="00781112">
        <w:rPr>
          <w:rFonts w:cs="Arial"/>
          <w:color w:val="000000" w:themeColor="text1"/>
          <w:szCs w:val="16"/>
        </w:rPr>
        <w:t>26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88"/>
        <w:gridCol w:w="1488"/>
        <w:gridCol w:w="1709"/>
        <w:gridCol w:w="1079"/>
        <w:gridCol w:w="1627"/>
        <w:gridCol w:w="970"/>
        <w:gridCol w:w="1235"/>
        <w:gridCol w:w="1194"/>
      </w:tblGrid>
      <w:tr w:rsidR="00206A65" w:rsidRPr="00781112" w14:paraId="53F272CD" w14:textId="23013B7B" w:rsidTr="002B4D97">
        <w:trPr>
          <w:trHeight w:val="354"/>
          <w:jc w:val="center"/>
        </w:trPr>
        <w:tc>
          <w:tcPr>
            <w:tcW w:w="652" w:type="pct"/>
            <w:shd w:val="clear" w:color="auto" w:fill="auto"/>
            <w:vAlign w:val="bottom"/>
          </w:tcPr>
          <w:p w14:paraId="18E013DB" w14:textId="1E730C58"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shd w:val="clear" w:color="auto" w:fill="auto"/>
            <w:vAlign w:val="bottom"/>
          </w:tcPr>
          <w:p w14:paraId="67667553" w14:textId="3EAD48D0"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shd w:val="clear" w:color="auto" w:fill="auto"/>
            <w:vAlign w:val="bottom"/>
          </w:tcPr>
          <w:p w14:paraId="33AFFA6F" w14:textId="7F185165"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24" w:type="pct"/>
            <w:shd w:val="clear" w:color="auto" w:fill="auto"/>
            <w:vAlign w:val="bottom"/>
          </w:tcPr>
          <w:p w14:paraId="600C49E0" w14:textId="6AF116EC" w:rsidR="00206A65" w:rsidRPr="00CC1061" w:rsidRDefault="00206A65" w:rsidP="00206A65">
            <w:pPr>
              <w:jc w:val="center"/>
              <w:rPr>
                <w:b/>
                <w:bCs/>
                <w:color w:val="000000" w:themeColor="text1"/>
              </w:rPr>
            </w:pPr>
            <w:r w:rsidRPr="00CC1061">
              <w:rPr>
                <w:b/>
                <w:bCs/>
              </w:rPr>
              <w:t>FFY 2020 Data</w:t>
            </w:r>
          </w:p>
        </w:tc>
        <w:tc>
          <w:tcPr>
            <w:tcW w:w="778" w:type="pct"/>
            <w:shd w:val="clear" w:color="auto" w:fill="auto"/>
            <w:vAlign w:val="bottom"/>
          </w:tcPr>
          <w:p w14:paraId="1B6D5875" w14:textId="08919282" w:rsidR="00206A65" w:rsidRPr="00CC1061" w:rsidRDefault="00206A65" w:rsidP="00206A65">
            <w:pPr>
              <w:jc w:val="center"/>
              <w:rPr>
                <w:b/>
                <w:bCs/>
                <w:color w:val="000000" w:themeColor="text1"/>
              </w:rPr>
            </w:pPr>
            <w:r w:rsidRPr="00CC1061">
              <w:rPr>
                <w:b/>
                <w:bCs/>
              </w:rPr>
              <w:t>FFY 2021 Target</w:t>
            </w:r>
          </w:p>
        </w:tc>
        <w:tc>
          <w:tcPr>
            <w:tcW w:w="473" w:type="pct"/>
            <w:shd w:val="clear" w:color="auto" w:fill="auto"/>
            <w:vAlign w:val="bottom"/>
          </w:tcPr>
          <w:p w14:paraId="33B20FA6" w14:textId="53AE2B97" w:rsidR="00206A65" w:rsidRPr="00CC1061" w:rsidRDefault="00206A65" w:rsidP="00206A65">
            <w:pPr>
              <w:jc w:val="center"/>
              <w:rPr>
                <w:b/>
                <w:bCs/>
                <w:color w:val="000000" w:themeColor="text1"/>
              </w:rPr>
            </w:pPr>
            <w:r w:rsidRPr="00CC1061">
              <w:rPr>
                <w:b/>
                <w:bCs/>
              </w:rPr>
              <w:t>FFY 2021 Data</w:t>
            </w:r>
          </w:p>
        </w:tc>
        <w:tc>
          <w:tcPr>
            <w:tcW w:w="596" w:type="pct"/>
            <w:shd w:val="clear" w:color="auto" w:fill="auto"/>
            <w:vAlign w:val="bottom"/>
          </w:tcPr>
          <w:p w14:paraId="7561FBFF" w14:textId="5BCCF9DB" w:rsidR="00206A65" w:rsidRPr="00781112" w:rsidRDefault="00206A65" w:rsidP="00206A65">
            <w:pPr>
              <w:jc w:val="center"/>
              <w:rPr>
                <w:b/>
                <w:color w:val="000000" w:themeColor="text1"/>
              </w:rPr>
            </w:pPr>
            <w:r w:rsidRPr="00781112">
              <w:rPr>
                <w:b/>
                <w:color w:val="000000" w:themeColor="text1"/>
              </w:rPr>
              <w:t>Status</w:t>
            </w:r>
          </w:p>
        </w:tc>
        <w:tc>
          <w:tcPr>
            <w:tcW w:w="577" w:type="pct"/>
            <w:shd w:val="clear" w:color="auto" w:fill="auto"/>
            <w:vAlign w:val="bottom"/>
          </w:tcPr>
          <w:p w14:paraId="0153B20F" w14:textId="69571E1B"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57CF8532" w14:textId="02E28ACC" w:rsidTr="002B4D97">
        <w:trPr>
          <w:trHeight w:val="361"/>
          <w:jc w:val="center"/>
        </w:trPr>
        <w:tc>
          <w:tcPr>
            <w:tcW w:w="652" w:type="pct"/>
            <w:shd w:val="clear" w:color="auto" w:fill="auto"/>
            <w:vAlign w:val="center"/>
          </w:tcPr>
          <w:p w14:paraId="172AFDD0" w14:textId="0A73037E" w:rsidR="004B2A77" w:rsidRPr="00781112" w:rsidRDefault="004B2A77" w:rsidP="00A018D4">
            <w:pPr>
              <w:jc w:val="center"/>
              <w:rPr>
                <w:rFonts w:cs="Arial"/>
                <w:color w:val="000000" w:themeColor="text1"/>
                <w:szCs w:val="16"/>
              </w:rPr>
            </w:pPr>
            <w:r w:rsidRPr="00781112">
              <w:rPr>
                <w:rFonts w:cs="Arial"/>
                <w:color w:val="000000" w:themeColor="text1"/>
                <w:szCs w:val="16"/>
              </w:rPr>
              <w:t>3</w:t>
            </w:r>
          </w:p>
        </w:tc>
        <w:tc>
          <w:tcPr>
            <w:tcW w:w="583" w:type="pct"/>
            <w:shd w:val="clear" w:color="auto" w:fill="auto"/>
            <w:vAlign w:val="center"/>
          </w:tcPr>
          <w:p w14:paraId="6757D825" w14:textId="1A92A410"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shd w:val="clear" w:color="auto" w:fill="auto"/>
          </w:tcPr>
          <w:p w14:paraId="5A5C0509" w14:textId="06ACAFFD" w:rsidR="004B2A77" w:rsidRPr="00781112" w:rsidRDefault="004B2A77" w:rsidP="00A018D4">
            <w:pPr>
              <w:jc w:val="center"/>
              <w:rPr>
                <w:rFonts w:cs="Arial"/>
                <w:color w:val="000000" w:themeColor="text1"/>
                <w:szCs w:val="16"/>
              </w:rPr>
            </w:pPr>
            <w:r w:rsidRPr="00781112">
              <w:rPr>
                <w:rFonts w:cs="Arial"/>
                <w:color w:val="000000" w:themeColor="text1"/>
                <w:szCs w:val="16"/>
              </w:rPr>
              <w:t>518</w:t>
            </w:r>
          </w:p>
        </w:tc>
        <w:tc>
          <w:tcPr>
            <w:tcW w:w="524" w:type="pct"/>
            <w:shd w:val="clear" w:color="auto" w:fill="auto"/>
          </w:tcPr>
          <w:p w14:paraId="5124C23D" w14:textId="44EC7AED"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shd w:val="clear" w:color="auto" w:fill="auto"/>
          </w:tcPr>
          <w:p w14:paraId="60374E05" w14:textId="3E7E167C"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shd w:val="clear" w:color="auto" w:fill="auto"/>
          </w:tcPr>
          <w:p w14:paraId="4C77CACE" w14:textId="610C95DA"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shd w:val="clear" w:color="auto" w:fill="auto"/>
          </w:tcPr>
          <w:p w14:paraId="58A781DA" w14:textId="678D3288" w:rsidR="004B2A77" w:rsidRPr="00781112" w:rsidRDefault="004B2A77" w:rsidP="00A018D4">
            <w:pPr>
              <w:jc w:val="center"/>
              <w:rPr>
                <w:rFonts w:cs="Arial"/>
                <w:color w:val="000000" w:themeColor="text1"/>
                <w:szCs w:val="16"/>
              </w:rPr>
            </w:pPr>
            <w:r w:rsidRPr="00781112">
              <w:rPr>
                <w:rFonts w:cs="Arial"/>
                <w:color w:val="000000" w:themeColor="text1"/>
                <w:szCs w:val="16"/>
              </w:rPr>
              <w:t>Met target</w:t>
            </w:r>
          </w:p>
        </w:tc>
        <w:tc>
          <w:tcPr>
            <w:tcW w:w="577" w:type="pct"/>
            <w:shd w:val="clear" w:color="auto" w:fill="auto"/>
          </w:tcPr>
          <w:p w14:paraId="47F36111" w14:textId="3F2C8DFF" w:rsidR="004B2A77" w:rsidRPr="00781112" w:rsidRDefault="004B2A77" w:rsidP="00A018D4">
            <w:pPr>
              <w:jc w:val="center"/>
              <w:rPr>
                <w:rFonts w:cs="Arial"/>
                <w:color w:val="000000" w:themeColor="text1"/>
                <w:szCs w:val="16"/>
              </w:rPr>
            </w:pPr>
            <w:r w:rsidRPr="00781112">
              <w:rPr>
                <w:rFonts w:cs="Arial"/>
                <w:color w:val="000000" w:themeColor="text1"/>
                <w:szCs w:val="16"/>
              </w:rPr>
              <w:t>No Slippage</w:t>
            </w:r>
          </w:p>
        </w:tc>
      </w:tr>
    </w:tbl>
    <w:p w14:paraId="220899ED" w14:textId="09CDAC50"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64B5C6B5" w14:textId="17D64090" w:rsidR="003E7FC1" w:rsidRPr="00781112" w:rsidRDefault="003E7FC1" w:rsidP="007D435F">
      <w:pPr>
        <w:rPr>
          <w:rFonts w:cs="Arial"/>
          <w:color w:val="000000" w:themeColor="text1"/>
          <w:szCs w:val="16"/>
        </w:rPr>
      </w:pPr>
      <w:r w:rsidRPr="00781112">
        <w:rPr>
          <w:rFonts w:cs="Arial"/>
          <w:color w:val="000000" w:themeColor="text1"/>
          <w:szCs w:val="16"/>
        </w:rPr>
        <w:t>YES</w:t>
      </w:r>
    </w:p>
    <w:p w14:paraId="6A959542" w14:textId="25AC6B55"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6885C863" w14:textId="66F69B19" w:rsidR="009B37A2" w:rsidRPr="00781112" w:rsidRDefault="002B7490" w:rsidP="00CE1CE8">
      <w:pPr>
        <w:rPr>
          <w:rFonts w:cs="Arial"/>
          <w:color w:val="000000" w:themeColor="text1"/>
          <w:szCs w:val="16"/>
        </w:rPr>
      </w:pPr>
      <w:bookmarkStart w:id="49" w:name="_Hlk494459610"/>
      <w:r w:rsidRPr="00781112">
        <w:rPr>
          <w:rFonts w:cs="Arial"/>
          <w:color w:val="000000" w:themeColor="text1"/>
          <w:szCs w:val="16"/>
        </w:rPr>
        <w:t>The OSDE-SES has defined “disproportionate representation” as a risk ratio of 2.6 or greater (overrepresentation) in any given year (every one year). When disproportionate representation is determined for a district, the OSDE-SES will determine if the disproportionality is the result of inappropriate identification by reviewing policies, practices and procedures as submitted by the LEA. Data for each district and charter school were analyzed for all racial and ethnic groups.</w:t>
      </w:r>
      <w:r w:rsidRPr="00781112">
        <w:rPr>
          <w:rFonts w:cs="Arial"/>
          <w:color w:val="000000" w:themeColor="text1"/>
          <w:szCs w:val="16"/>
        </w:rPr>
        <w:br/>
      </w:r>
      <w:r w:rsidRPr="00781112">
        <w:rPr>
          <w:rFonts w:cs="Arial"/>
          <w:color w:val="000000" w:themeColor="text1"/>
          <w:szCs w:val="16"/>
        </w:rPr>
        <w:br/>
        <w:t>Calculating Disproportionate Representation</w:t>
      </w:r>
      <w:r w:rsidRPr="00781112">
        <w:rPr>
          <w:rFonts w:cs="Arial"/>
          <w:color w:val="000000" w:themeColor="text1"/>
          <w:szCs w:val="16"/>
        </w:rPr>
        <w:br/>
        <w:t xml:space="preserve">OSDE-SES calculated a risk ratio for each of the seven racial/ethnic category in each LEA: overall risk of identification is determined by comparing the risk of any racial/ethnic group to the risk of all other racial/ethnic groups. </w:t>
      </w:r>
      <w:r w:rsidRPr="00781112">
        <w:rPr>
          <w:rFonts w:cs="Arial"/>
          <w:color w:val="000000" w:themeColor="text1"/>
          <w:szCs w:val="16"/>
        </w:rPr>
        <w:br/>
      </w:r>
      <w:r w:rsidRPr="00781112">
        <w:rPr>
          <w:rFonts w:cs="Arial"/>
          <w:color w:val="000000" w:themeColor="text1"/>
          <w:szCs w:val="16"/>
        </w:rPr>
        <w:br/>
        <w:t>To be included in the analysis, a group must have at least 10 students with disabilities of a particular racial/ethnic category and at least 10 students in the same racial/ethnic category in overall enrollment. That group risk is then compared to either the LEA or the state risk for all other students. For the LEA comparison group to be used, the LEA must have at least 10 students with disabilities in 'all other' racial/ethnic categories and at least 10 students in 'all other' racial/ethnic categories in overall enrollment; otherwise the statewide comparison group risk was used. OSDE-SES identified districts with a risk ratio of 2.6 or greater as disproportionate in the relevant racial/ethnic category or categories. The data source for Oklahoma’s analysis was Table 1 (Child Count) of Information Collection 1820-0043 (Report of Children with Disabilities Receiving Special Education under Part B of the IDEA) for all children with disabilities aged 5 in KG through 21 served under the IDEA.</w:t>
      </w:r>
    </w:p>
    <w:bookmarkEnd w:id="49"/>
    <w:p w14:paraId="7574A63E" w14:textId="34AB5613"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43771B17" w14:textId="1EE1B86A" w:rsidR="009B37A2" w:rsidRPr="00781112" w:rsidRDefault="002B7490" w:rsidP="003817C0">
      <w:pPr>
        <w:rPr>
          <w:rFonts w:cs="Arial"/>
          <w:color w:val="000000" w:themeColor="text1"/>
          <w:szCs w:val="16"/>
        </w:rPr>
      </w:pPr>
      <w:r w:rsidRPr="00781112">
        <w:rPr>
          <w:rFonts w:cs="Arial"/>
          <w:color w:val="000000" w:themeColor="text1"/>
          <w:szCs w:val="16"/>
        </w:rPr>
        <w:t>Annually, districts are required to upload their policies, practices and procedures related to special education identification in the LEA Assurances and Agreement. Districts are notified of any disproportionality when they receive their annual District Data Profile. Those identified as being disproportionate in one or more racial and ethnic groups are subject to an in-depth review of their policies, procedures, and practices with attention to the development and implementation of a comprehensive referral and evaluation process, including procedural safeguards. These reviews are conducted by experienced and knowledgeable SEA personnel who flag problematic policies, practices and procedures for discussion and additional review. If any indicate inappropriate identification is a concern, OSDE-SES will work with the LEA for revision and improvement. A review of policies, procedures, and practices occurs during all general supervision and monitoring activities, also.</w:t>
      </w:r>
    </w:p>
    <w:p w14:paraId="3B71A72A" w14:textId="77777777" w:rsidR="00DF1529" w:rsidRPr="00781112" w:rsidRDefault="00DF1529" w:rsidP="00DF1529">
      <w:pPr>
        <w:rPr>
          <w:rFonts w:cs="Arial"/>
          <w:b/>
          <w:color w:val="000000" w:themeColor="text1"/>
          <w:szCs w:val="16"/>
        </w:rPr>
      </w:pPr>
      <w:bookmarkStart w:id="50" w:name="_Toc381956337"/>
      <w:bookmarkStart w:id="51" w:name="_Toc384383347"/>
      <w:bookmarkStart w:id="52" w:name="_Toc392159315"/>
      <w:r w:rsidRPr="00781112">
        <w:rPr>
          <w:rFonts w:cs="Arial"/>
          <w:b/>
          <w:color w:val="000000" w:themeColor="text1"/>
          <w:szCs w:val="16"/>
        </w:rPr>
        <w:t>Provide additional information about this indicator (optional)</w:t>
      </w:r>
    </w:p>
    <w:p w14:paraId="0CC85C5C" w14:textId="196142DC" w:rsidR="009B37A2" w:rsidRPr="00781112" w:rsidRDefault="002B7490" w:rsidP="007D435F">
      <w:pPr>
        <w:rPr>
          <w:rFonts w:cs="Arial"/>
          <w:color w:val="000000" w:themeColor="text1"/>
          <w:szCs w:val="16"/>
        </w:rPr>
      </w:pPr>
      <w:r w:rsidRPr="00781112">
        <w:rPr>
          <w:rFonts w:cs="Arial"/>
          <w:color w:val="000000" w:themeColor="text1"/>
          <w:szCs w:val="16"/>
        </w:rPr>
        <w:t>The data for indicator 9 reflect the child count collected on October 1, 2021.</w:t>
      </w:r>
    </w:p>
    <w:p w14:paraId="1FEDA55E" w14:textId="77777777" w:rsidR="00F14FC6" w:rsidRPr="00781112" w:rsidRDefault="00F14FC6" w:rsidP="004369B2">
      <w:pPr>
        <w:rPr>
          <w:color w:val="000000" w:themeColor="text1"/>
        </w:rPr>
      </w:pPr>
    </w:p>
    <w:p w14:paraId="69DF7E10" w14:textId="5BCB19B1" w:rsidR="009A755E" w:rsidRPr="00781112" w:rsidRDefault="00450F98" w:rsidP="004369B2">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09PFFYNCFINDINGS"/>
      </w:tblPr>
      <w:tblGrid>
        <w:gridCol w:w="2650"/>
        <w:gridCol w:w="2780"/>
        <w:gridCol w:w="2656"/>
        <w:gridCol w:w="2704"/>
      </w:tblGrid>
      <w:tr w:rsidR="005C29F8" w:rsidRPr="00781112" w14:paraId="435C2E3A" w14:textId="77777777" w:rsidTr="004671FF">
        <w:trPr>
          <w:trHeight w:val="389"/>
          <w:tblHeader/>
        </w:trPr>
        <w:tc>
          <w:tcPr>
            <w:tcW w:w="1228" w:type="pct"/>
            <w:shd w:val="clear" w:color="auto" w:fill="auto"/>
            <w:vAlign w:val="bottom"/>
          </w:tcPr>
          <w:p w14:paraId="3DF4178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5838AA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10EF2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13FB05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64124D7" w14:textId="77777777" w:rsidTr="004671FF">
        <w:tc>
          <w:tcPr>
            <w:tcW w:w="1228" w:type="pct"/>
            <w:shd w:val="clear" w:color="auto" w:fill="auto"/>
          </w:tcPr>
          <w:p w14:paraId="42664B40" w14:textId="26FCEE8E"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6961AA78" w14:textId="6F435E7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62D59DBA" w14:textId="3A100C9A"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3810C422" w14:textId="3AC4106C"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7600374" w14:textId="77777777" w:rsidR="00F5391D" w:rsidRPr="00781112" w:rsidRDefault="00F5391D" w:rsidP="004369B2">
      <w:pPr>
        <w:rPr>
          <w:color w:val="000000" w:themeColor="text1"/>
        </w:rPr>
      </w:pPr>
    </w:p>
    <w:p w14:paraId="287CA0E8" w14:textId="283D846F" w:rsidR="009A755E" w:rsidRPr="00781112" w:rsidRDefault="00450F98" w:rsidP="004369B2">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09PPFFYNCFINDINGS"/>
      </w:tblPr>
      <w:tblGrid>
        <w:gridCol w:w="1888"/>
        <w:gridCol w:w="3133"/>
        <w:gridCol w:w="3123"/>
        <w:gridCol w:w="2646"/>
      </w:tblGrid>
      <w:tr w:rsidR="005C29F8" w:rsidRPr="00781112" w14:paraId="45BB80A1" w14:textId="77777777" w:rsidTr="000E4061">
        <w:trPr>
          <w:tblHeader/>
        </w:trPr>
        <w:tc>
          <w:tcPr>
            <w:tcW w:w="875" w:type="pct"/>
            <w:shd w:val="clear" w:color="auto" w:fill="auto"/>
            <w:vAlign w:val="bottom"/>
          </w:tcPr>
          <w:p w14:paraId="5035B654" w14:textId="11C86A5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2" w:type="pct"/>
            <w:shd w:val="clear" w:color="auto" w:fill="auto"/>
            <w:vAlign w:val="bottom"/>
          </w:tcPr>
          <w:p w14:paraId="37A08A62" w14:textId="5B0E531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447" w:type="pct"/>
            <w:shd w:val="clear" w:color="auto" w:fill="auto"/>
            <w:vAlign w:val="bottom"/>
          </w:tcPr>
          <w:p w14:paraId="24E9B19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shd w:val="clear" w:color="auto" w:fill="auto"/>
            <w:vAlign w:val="bottom"/>
          </w:tcPr>
          <w:p w14:paraId="344E951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988805E" w14:textId="77777777" w:rsidTr="000E4061">
        <w:tc>
          <w:tcPr>
            <w:tcW w:w="875" w:type="pct"/>
            <w:shd w:val="clear" w:color="auto" w:fill="auto"/>
          </w:tcPr>
          <w:p w14:paraId="45428D6F" w14:textId="7D4EAEAA" w:rsidR="009A755E" w:rsidRPr="00781112" w:rsidRDefault="009A755E" w:rsidP="00A018D4">
            <w:pPr>
              <w:jc w:val="center"/>
              <w:rPr>
                <w:rFonts w:cs="Arial"/>
                <w:color w:val="000000" w:themeColor="text1"/>
                <w:szCs w:val="16"/>
              </w:rPr>
            </w:pPr>
          </w:p>
        </w:tc>
        <w:tc>
          <w:tcPr>
            <w:tcW w:w="1452" w:type="pct"/>
            <w:shd w:val="clear" w:color="auto" w:fill="auto"/>
          </w:tcPr>
          <w:p w14:paraId="2538B936" w14:textId="1E5EBCEA" w:rsidR="009A755E" w:rsidRPr="00781112" w:rsidRDefault="009A755E">
            <w:pPr>
              <w:jc w:val="center"/>
              <w:rPr>
                <w:rFonts w:cs="Arial"/>
                <w:noProof/>
                <w:color w:val="000000" w:themeColor="text1"/>
                <w:szCs w:val="16"/>
              </w:rPr>
            </w:pPr>
          </w:p>
        </w:tc>
        <w:tc>
          <w:tcPr>
            <w:tcW w:w="1447" w:type="pct"/>
            <w:shd w:val="clear" w:color="auto" w:fill="auto"/>
          </w:tcPr>
          <w:p w14:paraId="0C2616F3" w14:textId="51C19A6F" w:rsidR="009A755E" w:rsidRPr="00781112" w:rsidRDefault="009A755E">
            <w:pPr>
              <w:jc w:val="center"/>
              <w:rPr>
                <w:rFonts w:cs="Arial"/>
                <w:noProof/>
                <w:color w:val="000000" w:themeColor="text1"/>
                <w:szCs w:val="16"/>
              </w:rPr>
            </w:pPr>
          </w:p>
        </w:tc>
        <w:tc>
          <w:tcPr>
            <w:tcW w:w="1226" w:type="pct"/>
            <w:shd w:val="clear" w:color="auto" w:fill="auto"/>
          </w:tcPr>
          <w:p w14:paraId="2C4B22F3" w14:textId="328F69BF" w:rsidR="009A755E" w:rsidRPr="00781112" w:rsidRDefault="009A755E">
            <w:pPr>
              <w:jc w:val="center"/>
              <w:rPr>
                <w:rFonts w:cs="Arial"/>
                <w:noProof/>
                <w:color w:val="000000" w:themeColor="text1"/>
                <w:szCs w:val="16"/>
              </w:rPr>
            </w:pPr>
          </w:p>
        </w:tc>
      </w:tr>
      <w:tr w:rsidR="005C29F8" w:rsidRPr="00781112" w14:paraId="64C29D12" w14:textId="77777777" w:rsidTr="000E4061">
        <w:tc>
          <w:tcPr>
            <w:tcW w:w="875" w:type="pct"/>
            <w:shd w:val="clear" w:color="auto" w:fill="auto"/>
          </w:tcPr>
          <w:p w14:paraId="64B189E9" w14:textId="0AFBAB97" w:rsidR="009A755E" w:rsidRPr="00781112" w:rsidRDefault="009A755E" w:rsidP="00A018D4">
            <w:pPr>
              <w:jc w:val="center"/>
              <w:rPr>
                <w:rFonts w:cs="Arial"/>
                <w:color w:val="000000" w:themeColor="text1"/>
                <w:szCs w:val="16"/>
              </w:rPr>
            </w:pPr>
          </w:p>
        </w:tc>
        <w:tc>
          <w:tcPr>
            <w:tcW w:w="1452" w:type="pct"/>
            <w:shd w:val="clear" w:color="auto" w:fill="auto"/>
          </w:tcPr>
          <w:p w14:paraId="0A04A1D7" w14:textId="686FEC4A" w:rsidR="009A755E" w:rsidRPr="00781112" w:rsidRDefault="009A755E">
            <w:pPr>
              <w:jc w:val="center"/>
              <w:rPr>
                <w:rFonts w:cs="Arial"/>
                <w:noProof/>
                <w:color w:val="000000" w:themeColor="text1"/>
                <w:szCs w:val="16"/>
              </w:rPr>
            </w:pPr>
          </w:p>
        </w:tc>
        <w:tc>
          <w:tcPr>
            <w:tcW w:w="1447" w:type="pct"/>
            <w:shd w:val="clear" w:color="auto" w:fill="auto"/>
          </w:tcPr>
          <w:p w14:paraId="6EC161AF" w14:textId="6E0D3C99" w:rsidR="009A755E" w:rsidRPr="00781112" w:rsidRDefault="009A755E">
            <w:pPr>
              <w:jc w:val="center"/>
              <w:rPr>
                <w:rFonts w:cs="Arial"/>
                <w:noProof/>
                <w:color w:val="000000" w:themeColor="text1"/>
                <w:szCs w:val="16"/>
              </w:rPr>
            </w:pPr>
          </w:p>
        </w:tc>
        <w:tc>
          <w:tcPr>
            <w:tcW w:w="1226" w:type="pct"/>
            <w:shd w:val="clear" w:color="auto" w:fill="auto"/>
          </w:tcPr>
          <w:p w14:paraId="0BCD79B4" w14:textId="02E3B9EE" w:rsidR="009A755E" w:rsidRPr="00781112" w:rsidRDefault="009A755E">
            <w:pPr>
              <w:jc w:val="center"/>
              <w:rPr>
                <w:rFonts w:cs="Arial"/>
                <w:noProof/>
                <w:color w:val="000000" w:themeColor="text1"/>
                <w:szCs w:val="16"/>
              </w:rPr>
            </w:pPr>
          </w:p>
        </w:tc>
      </w:tr>
      <w:tr w:rsidR="005C29F8" w:rsidRPr="00781112" w14:paraId="5DBE1D84" w14:textId="77777777" w:rsidTr="000E4061">
        <w:tc>
          <w:tcPr>
            <w:tcW w:w="875" w:type="pct"/>
            <w:shd w:val="clear" w:color="auto" w:fill="auto"/>
          </w:tcPr>
          <w:p w14:paraId="19109B9A" w14:textId="16CEFD65" w:rsidR="009A755E" w:rsidRPr="00781112" w:rsidRDefault="009A755E" w:rsidP="00A018D4">
            <w:pPr>
              <w:jc w:val="center"/>
              <w:rPr>
                <w:rFonts w:cs="Arial"/>
                <w:color w:val="000000" w:themeColor="text1"/>
                <w:szCs w:val="16"/>
              </w:rPr>
            </w:pPr>
          </w:p>
        </w:tc>
        <w:tc>
          <w:tcPr>
            <w:tcW w:w="1452" w:type="pct"/>
            <w:shd w:val="clear" w:color="auto" w:fill="auto"/>
          </w:tcPr>
          <w:p w14:paraId="2D2E112D" w14:textId="794C18F8" w:rsidR="009A755E" w:rsidRPr="00781112" w:rsidRDefault="009A755E">
            <w:pPr>
              <w:jc w:val="center"/>
              <w:rPr>
                <w:rFonts w:cs="Arial"/>
                <w:noProof/>
                <w:color w:val="000000" w:themeColor="text1"/>
                <w:szCs w:val="16"/>
              </w:rPr>
            </w:pPr>
          </w:p>
        </w:tc>
        <w:tc>
          <w:tcPr>
            <w:tcW w:w="1447" w:type="pct"/>
            <w:shd w:val="clear" w:color="auto" w:fill="auto"/>
          </w:tcPr>
          <w:p w14:paraId="5B55C7F5" w14:textId="3406276E" w:rsidR="009A755E" w:rsidRPr="00781112" w:rsidRDefault="009A755E">
            <w:pPr>
              <w:jc w:val="center"/>
              <w:rPr>
                <w:rFonts w:cs="Arial"/>
                <w:noProof/>
                <w:color w:val="000000" w:themeColor="text1"/>
                <w:szCs w:val="16"/>
              </w:rPr>
            </w:pPr>
          </w:p>
        </w:tc>
        <w:tc>
          <w:tcPr>
            <w:tcW w:w="1226" w:type="pct"/>
            <w:shd w:val="clear" w:color="auto" w:fill="auto"/>
          </w:tcPr>
          <w:p w14:paraId="04E4EF54" w14:textId="064E0A7A" w:rsidR="009A755E" w:rsidRPr="00781112" w:rsidRDefault="009A755E">
            <w:pPr>
              <w:jc w:val="center"/>
              <w:rPr>
                <w:rFonts w:cs="Arial"/>
                <w:noProof/>
                <w:color w:val="000000" w:themeColor="text1"/>
                <w:szCs w:val="16"/>
              </w:rPr>
            </w:pPr>
          </w:p>
        </w:tc>
      </w:tr>
    </w:tbl>
    <w:p w14:paraId="7A74DCD8" w14:textId="61B7BAF7" w:rsidR="004E2151" w:rsidRPr="00781112" w:rsidRDefault="00400C56" w:rsidP="008645AD">
      <w:pPr>
        <w:pStyle w:val="Heading2"/>
      </w:pPr>
      <w:r w:rsidRPr="00781112">
        <w:t>9</w:t>
      </w:r>
      <w:r w:rsidR="00844ADE" w:rsidRPr="00781112">
        <w:t xml:space="preserve"> </w:t>
      </w:r>
      <w:r w:rsidRPr="00781112">
        <w:t xml:space="preserve">- </w:t>
      </w:r>
      <w:r w:rsidR="004E2151" w:rsidRPr="00781112">
        <w:t>Prior FFY Required Actions</w:t>
      </w:r>
    </w:p>
    <w:p w14:paraId="704944D3" w14:textId="21E697E2" w:rsidR="004E2151" w:rsidRPr="00781112" w:rsidRDefault="002B7490" w:rsidP="004E2151">
      <w:pPr>
        <w:rPr>
          <w:rFonts w:cs="Arial"/>
          <w:color w:val="000000" w:themeColor="text1"/>
          <w:szCs w:val="16"/>
        </w:rPr>
      </w:pPr>
      <w:r w:rsidRPr="00781112">
        <w:rPr>
          <w:rFonts w:cs="Arial"/>
          <w:color w:val="000000" w:themeColor="text1"/>
          <w:szCs w:val="16"/>
        </w:rPr>
        <w:t>None</w:t>
      </w:r>
    </w:p>
    <w:p w14:paraId="7A2A42E5" w14:textId="77777777" w:rsidR="00591597" w:rsidRPr="00781112" w:rsidRDefault="00591597" w:rsidP="004E2151">
      <w:pPr>
        <w:rPr>
          <w:rFonts w:cs="Arial"/>
          <w:color w:val="000000" w:themeColor="text1"/>
          <w:szCs w:val="16"/>
        </w:rPr>
      </w:pPr>
    </w:p>
    <w:p w14:paraId="1139CB4A" w14:textId="77777777" w:rsidR="00591597" w:rsidRPr="00781112" w:rsidRDefault="00591597" w:rsidP="004E2151">
      <w:pPr>
        <w:rPr>
          <w:rFonts w:cs="Arial"/>
          <w:color w:val="000000" w:themeColor="text1"/>
          <w:szCs w:val="16"/>
        </w:rPr>
      </w:pPr>
    </w:p>
    <w:p w14:paraId="6FDBF7F5" w14:textId="608C7842" w:rsidR="007F5071" w:rsidRPr="00781112" w:rsidRDefault="00400C56" w:rsidP="008645AD">
      <w:pPr>
        <w:pStyle w:val="Heading2"/>
      </w:pPr>
      <w:r w:rsidRPr="00781112">
        <w:t>9 - OSEP Response</w:t>
      </w:r>
    </w:p>
    <w:p w14:paraId="77DED45E" w14:textId="3920B295" w:rsidR="00481536" w:rsidRPr="00781112" w:rsidRDefault="00481536" w:rsidP="00212954">
      <w:pPr>
        <w:rPr>
          <w:rFonts w:cs="Arial"/>
          <w:color w:val="000000" w:themeColor="text1"/>
          <w:szCs w:val="16"/>
        </w:rPr>
      </w:pPr>
    </w:p>
    <w:p w14:paraId="3F79B021" w14:textId="16E0C852" w:rsidR="007F5071" w:rsidRPr="00781112" w:rsidRDefault="00977D0D" w:rsidP="008645AD">
      <w:pPr>
        <w:pStyle w:val="Heading2"/>
      </w:pPr>
      <w:r w:rsidRPr="00781112">
        <w:t>9 - Required Actions</w:t>
      </w:r>
    </w:p>
    <w:p w14:paraId="0B404586" w14:textId="0A97D85C" w:rsidR="00481536" w:rsidRPr="00781112" w:rsidRDefault="00481536" w:rsidP="00212954">
      <w:pPr>
        <w:rPr>
          <w:rFonts w:cs="Arial"/>
          <w:color w:val="000000" w:themeColor="text1"/>
          <w:szCs w:val="16"/>
        </w:rPr>
      </w:pPr>
    </w:p>
    <w:p w14:paraId="20A15EBC"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D8087B6" w14:textId="0C652DF9" w:rsidR="00D03701" w:rsidRPr="00781112" w:rsidRDefault="00D03701" w:rsidP="000444E2">
      <w:pPr>
        <w:pStyle w:val="Heading1"/>
        <w:rPr>
          <w:color w:val="000000" w:themeColor="text1"/>
          <w:sz w:val="22"/>
        </w:rPr>
      </w:pPr>
      <w:r w:rsidRPr="00781112">
        <w:rPr>
          <w:color w:val="000000" w:themeColor="text1"/>
          <w:sz w:val="22"/>
        </w:rPr>
        <w:t>Indicator 10: Disproportionate Representation in Specific Disability Categories</w:t>
      </w:r>
      <w:bookmarkEnd w:id="50"/>
      <w:bookmarkEnd w:id="51"/>
      <w:bookmarkEnd w:id="52"/>
      <w:r w:rsidRPr="00781112">
        <w:rPr>
          <w:color w:val="000000" w:themeColor="text1"/>
          <w:sz w:val="22"/>
        </w:rPr>
        <w:t xml:space="preserve"> </w:t>
      </w:r>
    </w:p>
    <w:p w14:paraId="139B488B" w14:textId="77777777" w:rsidR="00B70FBF" w:rsidRPr="00781112" w:rsidRDefault="00B70FBF" w:rsidP="00A018D4">
      <w:pPr>
        <w:rPr>
          <w:color w:val="000000" w:themeColor="text1"/>
          <w:szCs w:val="20"/>
        </w:rPr>
      </w:pPr>
      <w:bookmarkStart w:id="53" w:name="_Toc384383348"/>
      <w:bookmarkStart w:id="54" w:name="_Toc392159316"/>
      <w:r w:rsidRPr="00781112">
        <w:rPr>
          <w:b/>
          <w:color w:val="000000" w:themeColor="text1"/>
          <w:sz w:val="20"/>
          <w:szCs w:val="20"/>
        </w:rPr>
        <w:t>Instructions and Measurement</w:t>
      </w:r>
    </w:p>
    <w:p w14:paraId="26E33C31" w14:textId="3616C8E9"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2D2ACC66" w14:textId="77777777"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14:paraId="7688ECEE" w14:textId="1C1D5AA2"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37F13F1F" w14:textId="77777777" w:rsidR="001D677D" w:rsidRPr="00781112" w:rsidRDefault="001D677D" w:rsidP="004369B2">
      <w:pPr>
        <w:rPr>
          <w:color w:val="000000" w:themeColor="text1"/>
        </w:rPr>
      </w:pPr>
      <w:r w:rsidRPr="00781112">
        <w:rPr>
          <w:b/>
          <w:color w:val="000000" w:themeColor="text1"/>
        </w:rPr>
        <w:t>Data Source</w:t>
      </w:r>
    </w:p>
    <w:p w14:paraId="3D0F53DD" w14:textId="1C69F23D"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101129B1" w14:textId="77777777" w:rsidR="001D677D" w:rsidRPr="00781112" w:rsidRDefault="001D677D" w:rsidP="004369B2">
      <w:pPr>
        <w:rPr>
          <w:color w:val="000000" w:themeColor="text1"/>
        </w:rPr>
      </w:pPr>
      <w:r w:rsidRPr="00781112">
        <w:rPr>
          <w:b/>
          <w:color w:val="000000" w:themeColor="text1"/>
        </w:rPr>
        <w:t>Measurement</w:t>
      </w:r>
    </w:p>
    <w:p w14:paraId="564157FF"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23D9C135" w14:textId="77777777"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7F3C03F6" w14:textId="1C3D4495"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618 data for the reporting year, describe how the State made its annual determination as to whether the disproportionate representation it identified of racial and ethnic groups in specific disability categories was the result of inappropriate identification as required by 34 CFR §§300.600(d)(3) and 300.602(a), e.g., using monitoring data; reviewing policies, practices and procedures, etc.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 xml:space="preserve">is the result of inappropriate identification, even if the determination of inappropriate identification was made after the end of the FFY </w:t>
      </w:r>
      <w:r w:rsidR="00206A65" w:rsidRPr="00781112">
        <w:rPr>
          <w:rFonts w:cs="Arial"/>
          <w:color w:val="000000" w:themeColor="text1"/>
          <w:szCs w:val="16"/>
        </w:rPr>
        <w:t>202</w:t>
      </w:r>
      <w:r w:rsidR="00206A65">
        <w:rPr>
          <w:rFonts w:cs="Arial"/>
          <w:color w:val="000000" w:themeColor="text1"/>
          <w:szCs w:val="16"/>
        </w:rPr>
        <w:t>1</w:t>
      </w:r>
      <w:r w:rsidR="00206A65" w:rsidRPr="00781112">
        <w:rPr>
          <w:rFonts w:cs="Arial"/>
          <w:color w:val="000000" w:themeColor="text1"/>
          <w:szCs w:val="16"/>
        </w:rPr>
        <w:t xml:space="preserve"> </w:t>
      </w:r>
      <w:r w:rsidRPr="00781112">
        <w:rPr>
          <w:rFonts w:cs="Arial"/>
          <w:color w:val="000000" w:themeColor="text1"/>
          <w:szCs w:val="16"/>
        </w:rPr>
        <w:t xml:space="preserve">reporting period (i.e., after June 30, </w:t>
      </w:r>
      <w:r w:rsidR="00206A65" w:rsidRPr="00781112">
        <w:rPr>
          <w:rFonts w:cs="Arial"/>
          <w:color w:val="000000" w:themeColor="text1"/>
          <w:szCs w:val="16"/>
        </w:rPr>
        <w:t>202</w:t>
      </w:r>
      <w:r w:rsidR="00206A65">
        <w:rPr>
          <w:rFonts w:cs="Arial"/>
          <w:color w:val="000000" w:themeColor="text1"/>
          <w:szCs w:val="16"/>
        </w:rPr>
        <w:t>2</w:t>
      </w:r>
      <w:r w:rsidRPr="00781112">
        <w:rPr>
          <w:rFonts w:cs="Arial"/>
          <w:color w:val="000000" w:themeColor="text1"/>
          <w:szCs w:val="16"/>
        </w:rPr>
        <w:t>).</w:t>
      </w:r>
    </w:p>
    <w:p w14:paraId="3C70F698" w14:textId="77777777" w:rsidR="001D677D" w:rsidRPr="00781112" w:rsidRDefault="001D677D" w:rsidP="004369B2">
      <w:pPr>
        <w:rPr>
          <w:color w:val="000000" w:themeColor="text1"/>
        </w:rPr>
      </w:pPr>
      <w:r w:rsidRPr="00781112">
        <w:rPr>
          <w:b/>
          <w:color w:val="000000" w:themeColor="text1"/>
        </w:rPr>
        <w:t>Instructions</w:t>
      </w:r>
    </w:p>
    <w:p w14:paraId="54B0F35E" w14:textId="0E1ED80A"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p>
    <w:p w14:paraId="2375484C"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65635BB5" w14:textId="77777777" w:rsidR="001D677D" w:rsidRPr="00781112" w:rsidRDefault="001D677D"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2FC20F43"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42D05561" w14:textId="057A6DF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4D68547C"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7F575E8E" w14:textId="77777777" w:rsidR="001D677D" w:rsidRPr="00781112" w:rsidRDefault="001D677D"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367E089E" w14:textId="7DBCE06A" w:rsidR="001D677D"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307820E6" w14:textId="2418F86F" w:rsidR="00B70FBF" w:rsidRPr="00781112" w:rsidRDefault="009F64D5" w:rsidP="008645AD">
      <w:pPr>
        <w:pStyle w:val="Heading2"/>
      </w:pPr>
      <w:bookmarkStart w:id="55" w:name="_Toc384383349"/>
      <w:bookmarkStart w:id="56" w:name="_Toc392159317"/>
      <w:bookmarkEnd w:id="53"/>
      <w:bookmarkEnd w:id="54"/>
      <w:r w:rsidRPr="00781112">
        <w:t>10</w:t>
      </w:r>
      <w:r w:rsidR="00596F4D" w:rsidRPr="00781112">
        <w:t xml:space="preserve"> </w:t>
      </w:r>
      <w:r w:rsidRPr="00781112">
        <w:t xml:space="preserve">- </w:t>
      </w:r>
      <w:r w:rsidR="00D853AE" w:rsidRPr="00781112">
        <w:t>Indicator Data</w:t>
      </w:r>
    </w:p>
    <w:p w14:paraId="198C31F1" w14:textId="77777777" w:rsidR="0091098C" w:rsidRPr="00781112" w:rsidRDefault="0091098C" w:rsidP="004369B2">
      <w:pPr>
        <w:rPr>
          <w:color w:val="000000" w:themeColor="text1"/>
        </w:rPr>
      </w:pPr>
      <w:r w:rsidRPr="00781112">
        <w:rPr>
          <w:b/>
          <w:color w:val="000000" w:themeColor="text1"/>
        </w:rPr>
        <w:t>Not Applicable</w:t>
      </w:r>
    </w:p>
    <w:p w14:paraId="769429F9" w14:textId="2143DCD6" w:rsidR="00C2395D" w:rsidRPr="00781112" w:rsidRDefault="001B07D3">
      <w:pPr>
        <w:rPr>
          <w:b/>
          <w:color w:val="000000" w:themeColor="text1"/>
        </w:rPr>
      </w:pPr>
      <w:r w:rsidRPr="00781112">
        <w:rPr>
          <w:b/>
          <w:color w:val="000000" w:themeColor="text1"/>
        </w:rPr>
        <w:t>Select yes if this indicator is not applicable.</w:t>
      </w:r>
    </w:p>
    <w:p w14:paraId="5BEDAC27" w14:textId="63B8B677" w:rsidR="00043AC9" w:rsidRPr="00781112" w:rsidRDefault="00043AC9" w:rsidP="004369B2">
      <w:pPr>
        <w:rPr>
          <w:rFonts w:cs="Arial"/>
          <w:color w:val="000000" w:themeColor="text1"/>
          <w:szCs w:val="16"/>
        </w:rPr>
      </w:pPr>
      <w:r w:rsidRPr="00781112">
        <w:rPr>
          <w:rFonts w:cs="Arial"/>
          <w:color w:val="000000" w:themeColor="text1"/>
          <w:szCs w:val="16"/>
        </w:rPr>
        <w:t>NO</w:t>
      </w:r>
    </w:p>
    <w:p w14:paraId="74ABC795" w14:textId="77777777" w:rsidR="00C50290" w:rsidRPr="00781112" w:rsidRDefault="00C50290" w:rsidP="004369B2">
      <w:pPr>
        <w:rPr>
          <w:color w:val="000000" w:themeColor="text1"/>
        </w:rPr>
      </w:pPr>
    </w:p>
    <w:p w14:paraId="07402C56" w14:textId="1ED19344"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7C3AA767" w14:textId="77777777" w:rsidTr="00123D76">
        <w:trPr>
          <w:trHeight w:val="311"/>
          <w:tblHeader/>
        </w:trPr>
        <w:tc>
          <w:tcPr>
            <w:tcW w:w="1797" w:type="dxa"/>
          </w:tcPr>
          <w:p w14:paraId="1A4E37E9"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45C39BBE"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4AFD3BFF" w14:textId="77777777" w:rsidTr="00123D76">
        <w:trPr>
          <w:trHeight w:val="311"/>
        </w:trPr>
        <w:tc>
          <w:tcPr>
            <w:tcW w:w="1797" w:type="dxa"/>
            <w:vAlign w:val="center"/>
          </w:tcPr>
          <w:p w14:paraId="71352362" w14:textId="3C2D4289" w:rsidR="00D533A5" w:rsidRPr="00781112" w:rsidRDefault="00D533A5" w:rsidP="00123D76">
            <w:pPr>
              <w:jc w:val="center"/>
              <w:rPr>
                <w:bCs/>
                <w:color w:val="000000" w:themeColor="text1"/>
              </w:rPr>
            </w:pPr>
            <w:r w:rsidRPr="00781112">
              <w:rPr>
                <w:bCs/>
                <w:color w:val="000000" w:themeColor="text1"/>
              </w:rPr>
              <w:t>2020</w:t>
            </w:r>
          </w:p>
        </w:tc>
        <w:tc>
          <w:tcPr>
            <w:tcW w:w="1798" w:type="dxa"/>
            <w:vAlign w:val="center"/>
          </w:tcPr>
          <w:p w14:paraId="1E9B684E" w14:textId="004A2B05" w:rsidR="00D533A5" w:rsidRPr="00781112" w:rsidRDefault="00D533A5" w:rsidP="00123D76">
            <w:pPr>
              <w:jc w:val="center"/>
              <w:rPr>
                <w:bCs/>
                <w:color w:val="000000" w:themeColor="text1"/>
              </w:rPr>
            </w:pPr>
            <w:r w:rsidRPr="00781112">
              <w:rPr>
                <w:bCs/>
                <w:color w:val="000000" w:themeColor="text1"/>
              </w:rPr>
              <w:t>0.00%</w:t>
            </w:r>
          </w:p>
        </w:tc>
      </w:tr>
    </w:tbl>
    <w:p w14:paraId="690B4CC0"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489E6808" w14:textId="77777777" w:rsidTr="002B4D97">
        <w:trPr>
          <w:trHeight w:val="350"/>
        </w:trPr>
        <w:tc>
          <w:tcPr>
            <w:tcW w:w="833" w:type="pct"/>
            <w:tcBorders>
              <w:bottom w:val="single" w:sz="4" w:space="0" w:color="auto"/>
            </w:tcBorders>
            <w:shd w:val="clear" w:color="auto" w:fill="auto"/>
          </w:tcPr>
          <w:p w14:paraId="0171756F" w14:textId="77777777" w:rsidR="005A3C12" w:rsidRPr="00781112" w:rsidRDefault="005A3C12" w:rsidP="004369B2">
            <w:pPr>
              <w:jc w:val="center"/>
              <w:rPr>
                <w:b/>
                <w:color w:val="000000" w:themeColor="text1"/>
              </w:rPr>
            </w:pPr>
            <w:r w:rsidRPr="00781112">
              <w:rPr>
                <w:b/>
                <w:color w:val="000000" w:themeColor="text1"/>
              </w:rPr>
              <w:t>FFY</w:t>
            </w:r>
          </w:p>
        </w:tc>
        <w:tc>
          <w:tcPr>
            <w:tcW w:w="833" w:type="pct"/>
            <w:shd w:val="clear" w:color="auto" w:fill="auto"/>
          </w:tcPr>
          <w:p w14:paraId="78B2C5F0" w14:textId="44C4ABDF" w:rsidR="005A3C12" w:rsidRPr="00781112" w:rsidRDefault="002B7490" w:rsidP="0077257F">
            <w:pPr>
              <w:jc w:val="center"/>
              <w:rPr>
                <w:b/>
                <w:color w:val="000000" w:themeColor="text1"/>
              </w:rPr>
            </w:pPr>
            <w:r w:rsidRPr="00781112">
              <w:rPr>
                <w:b/>
                <w:color w:val="000000" w:themeColor="text1"/>
              </w:rPr>
              <w:t>2016</w:t>
            </w:r>
          </w:p>
        </w:tc>
        <w:tc>
          <w:tcPr>
            <w:tcW w:w="833" w:type="pct"/>
            <w:shd w:val="clear" w:color="auto" w:fill="auto"/>
          </w:tcPr>
          <w:p w14:paraId="7D60853E" w14:textId="148AFB2D" w:rsidR="005A3C12" w:rsidRPr="00781112" w:rsidRDefault="002B7490" w:rsidP="0077257F">
            <w:pPr>
              <w:jc w:val="center"/>
              <w:rPr>
                <w:b/>
                <w:color w:val="000000" w:themeColor="text1"/>
              </w:rPr>
            </w:pPr>
            <w:r w:rsidRPr="00781112">
              <w:rPr>
                <w:b/>
                <w:color w:val="000000" w:themeColor="text1"/>
              </w:rPr>
              <w:t>2017</w:t>
            </w:r>
          </w:p>
        </w:tc>
        <w:tc>
          <w:tcPr>
            <w:tcW w:w="833" w:type="pct"/>
            <w:shd w:val="clear" w:color="auto" w:fill="auto"/>
          </w:tcPr>
          <w:p w14:paraId="7AE4870B" w14:textId="1CBB7B36" w:rsidR="005A3C12" w:rsidRPr="00781112" w:rsidRDefault="002B7490" w:rsidP="0077257F">
            <w:pPr>
              <w:jc w:val="center"/>
              <w:rPr>
                <w:b/>
                <w:color w:val="000000" w:themeColor="text1"/>
              </w:rPr>
            </w:pPr>
            <w:r w:rsidRPr="00781112">
              <w:rPr>
                <w:b/>
                <w:color w:val="000000" w:themeColor="text1"/>
              </w:rPr>
              <w:t>2018</w:t>
            </w:r>
          </w:p>
        </w:tc>
        <w:tc>
          <w:tcPr>
            <w:tcW w:w="833" w:type="pct"/>
            <w:shd w:val="clear" w:color="auto" w:fill="auto"/>
          </w:tcPr>
          <w:p w14:paraId="2C1DA403" w14:textId="484DDCF7" w:rsidR="005A3C12" w:rsidRPr="00781112" w:rsidRDefault="002B7490" w:rsidP="0077257F">
            <w:pPr>
              <w:jc w:val="center"/>
              <w:rPr>
                <w:b/>
                <w:color w:val="000000" w:themeColor="text1"/>
              </w:rPr>
            </w:pPr>
            <w:r w:rsidRPr="00781112">
              <w:rPr>
                <w:b/>
                <w:color w:val="000000" w:themeColor="text1"/>
              </w:rPr>
              <w:t>2019</w:t>
            </w:r>
          </w:p>
        </w:tc>
        <w:tc>
          <w:tcPr>
            <w:tcW w:w="834" w:type="pct"/>
            <w:shd w:val="clear" w:color="auto" w:fill="auto"/>
          </w:tcPr>
          <w:p w14:paraId="0829DA0A" w14:textId="7480CDCA" w:rsidR="005A3C12" w:rsidRPr="00781112" w:rsidRDefault="002B7490" w:rsidP="0077257F">
            <w:pPr>
              <w:jc w:val="center"/>
              <w:rPr>
                <w:b/>
                <w:color w:val="000000" w:themeColor="text1"/>
              </w:rPr>
            </w:pPr>
            <w:r w:rsidRPr="00781112">
              <w:rPr>
                <w:b/>
                <w:color w:val="000000" w:themeColor="text1"/>
              </w:rPr>
              <w:t>2020</w:t>
            </w:r>
          </w:p>
        </w:tc>
      </w:tr>
      <w:tr w:rsidR="005C29F8" w:rsidRPr="00781112" w14:paraId="070DB2EE" w14:textId="77777777" w:rsidTr="002B4D97">
        <w:trPr>
          <w:trHeight w:val="357"/>
        </w:trPr>
        <w:tc>
          <w:tcPr>
            <w:tcW w:w="833" w:type="pct"/>
            <w:shd w:val="clear" w:color="auto" w:fill="auto"/>
          </w:tcPr>
          <w:p w14:paraId="0009CFCE" w14:textId="3FC698CF" w:rsidR="005A3C12" w:rsidRPr="00781112" w:rsidRDefault="005A3C12" w:rsidP="00B6413B">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1375BD99" w14:textId="6D10741B"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26F74D0F" w14:textId="4AE09CE9"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7853FB9A" w14:textId="12B0C6E3"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48E831B0" w14:textId="55B124AD"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0EC718C3" w14:textId="25E87C80"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72345F0E" w14:textId="77777777" w:rsidTr="002B4D97">
        <w:trPr>
          <w:trHeight w:val="85"/>
        </w:trPr>
        <w:tc>
          <w:tcPr>
            <w:tcW w:w="833" w:type="pct"/>
            <w:shd w:val="clear" w:color="auto" w:fill="auto"/>
          </w:tcPr>
          <w:p w14:paraId="33960FE1" w14:textId="77777777" w:rsidR="005A3C12" w:rsidRPr="00781112" w:rsidRDefault="005A3C12" w:rsidP="00B6413B">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1EEC0627" w14:textId="677F8A3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5FB4D0B8" w14:textId="190E02C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6B818C8" w14:textId="70F8E2EA"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4F9B86C0" w14:textId="2EC4A366"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1C8D4247" w14:textId="1E5D4F59"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r>
      <w:bookmarkEnd w:id="55"/>
      <w:bookmarkEnd w:id="56"/>
    </w:tbl>
    <w:p w14:paraId="1840A66A" w14:textId="77777777" w:rsidR="00BA687C" w:rsidRPr="00781112" w:rsidRDefault="00BA687C" w:rsidP="004369B2">
      <w:pPr>
        <w:rPr>
          <w:color w:val="000000" w:themeColor="text1"/>
        </w:rPr>
      </w:pPr>
    </w:p>
    <w:p w14:paraId="618FFFDA" w14:textId="2F1D75E5" w:rsidR="007A3964" w:rsidRPr="00781112" w:rsidRDefault="007A3964" w:rsidP="004369B2">
      <w:pPr>
        <w:rPr>
          <w:color w:val="000000" w:themeColor="text1"/>
        </w:rPr>
      </w:pPr>
      <w:r w:rsidRPr="00781112">
        <w:rPr>
          <w:b/>
          <w:color w:val="000000" w:themeColor="text1"/>
        </w:rPr>
        <w:t>Targets</w:t>
      </w:r>
    </w:p>
    <w:tbl>
      <w:tblPr>
        <w:tblW w:w="42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40"/>
        <w:gridCol w:w="1541"/>
        <w:gridCol w:w="1543"/>
        <w:gridCol w:w="1541"/>
        <w:gridCol w:w="1543"/>
        <w:gridCol w:w="1541"/>
      </w:tblGrid>
      <w:tr w:rsidR="00B14519" w:rsidRPr="00781112" w14:paraId="66B5B2AB" w14:textId="77A1A8F1" w:rsidTr="00451D7E">
        <w:trPr>
          <w:trHeight w:val="424"/>
        </w:trPr>
        <w:tc>
          <w:tcPr>
            <w:tcW w:w="833" w:type="pct"/>
            <w:tcBorders>
              <w:bottom w:val="single" w:sz="4" w:space="0" w:color="auto"/>
            </w:tcBorders>
            <w:shd w:val="clear" w:color="auto" w:fill="auto"/>
          </w:tcPr>
          <w:p w14:paraId="6C572A94" w14:textId="77777777" w:rsidR="00B14519" w:rsidRPr="00781112" w:rsidRDefault="00B14519" w:rsidP="00D0796B">
            <w:pPr>
              <w:jc w:val="center"/>
              <w:rPr>
                <w:b/>
                <w:color w:val="000000" w:themeColor="text1"/>
              </w:rPr>
            </w:pPr>
            <w:r w:rsidRPr="00781112">
              <w:rPr>
                <w:b/>
                <w:color w:val="000000" w:themeColor="text1"/>
              </w:rPr>
              <w:t>FFY</w:t>
            </w:r>
          </w:p>
        </w:tc>
        <w:tc>
          <w:tcPr>
            <w:tcW w:w="833" w:type="pct"/>
            <w:shd w:val="clear" w:color="auto" w:fill="auto"/>
          </w:tcPr>
          <w:p w14:paraId="67096E8B" w14:textId="77777777" w:rsidR="00B14519" w:rsidRPr="00781112" w:rsidRDefault="00B14519" w:rsidP="00D0796B">
            <w:pPr>
              <w:jc w:val="center"/>
              <w:rPr>
                <w:b/>
                <w:color w:val="000000" w:themeColor="text1"/>
              </w:rPr>
            </w:pPr>
            <w:r w:rsidRPr="00781112">
              <w:rPr>
                <w:b/>
                <w:color w:val="000000" w:themeColor="text1"/>
              </w:rPr>
              <w:t>2021</w:t>
            </w:r>
          </w:p>
        </w:tc>
        <w:tc>
          <w:tcPr>
            <w:tcW w:w="834" w:type="pct"/>
          </w:tcPr>
          <w:p w14:paraId="0FDB27DB" w14:textId="2A7CA3D5" w:rsidR="00B14519" w:rsidRPr="00781112" w:rsidRDefault="00B14519" w:rsidP="00D0796B">
            <w:pPr>
              <w:jc w:val="center"/>
              <w:rPr>
                <w:b/>
                <w:color w:val="000000" w:themeColor="text1"/>
              </w:rPr>
            </w:pPr>
            <w:r w:rsidRPr="00781112">
              <w:rPr>
                <w:rFonts w:cs="Arial"/>
                <w:b/>
                <w:color w:val="000000" w:themeColor="text1"/>
                <w:szCs w:val="16"/>
              </w:rPr>
              <w:t>2022</w:t>
            </w:r>
          </w:p>
        </w:tc>
        <w:tc>
          <w:tcPr>
            <w:tcW w:w="833" w:type="pct"/>
          </w:tcPr>
          <w:p w14:paraId="6594AB3D" w14:textId="0AA5EB84" w:rsidR="00B14519" w:rsidRPr="00781112" w:rsidRDefault="00B14519" w:rsidP="00D0796B">
            <w:pPr>
              <w:jc w:val="center"/>
              <w:rPr>
                <w:b/>
                <w:color w:val="000000" w:themeColor="text1"/>
              </w:rPr>
            </w:pPr>
            <w:r w:rsidRPr="00781112">
              <w:rPr>
                <w:rFonts w:cs="Arial"/>
                <w:b/>
                <w:color w:val="000000" w:themeColor="text1"/>
                <w:szCs w:val="16"/>
              </w:rPr>
              <w:t>2023</w:t>
            </w:r>
          </w:p>
        </w:tc>
        <w:tc>
          <w:tcPr>
            <w:tcW w:w="834" w:type="pct"/>
          </w:tcPr>
          <w:p w14:paraId="137A2339" w14:textId="1A48CA5C" w:rsidR="00B14519" w:rsidRPr="00781112" w:rsidRDefault="00B14519" w:rsidP="00D0796B">
            <w:pPr>
              <w:jc w:val="center"/>
              <w:rPr>
                <w:b/>
                <w:color w:val="000000" w:themeColor="text1"/>
              </w:rPr>
            </w:pPr>
            <w:r w:rsidRPr="00781112">
              <w:rPr>
                <w:rFonts w:cs="Arial"/>
                <w:b/>
                <w:color w:val="000000" w:themeColor="text1"/>
                <w:szCs w:val="16"/>
              </w:rPr>
              <w:t>2024</w:t>
            </w:r>
          </w:p>
        </w:tc>
        <w:tc>
          <w:tcPr>
            <w:tcW w:w="833" w:type="pct"/>
          </w:tcPr>
          <w:p w14:paraId="4FA5EFF0" w14:textId="7587EB5F" w:rsidR="00B14519" w:rsidRPr="00781112" w:rsidRDefault="00B14519" w:rsidP="00D0796B">
            <w:pPr>
              <w:jc w:val="center"/>
              <w:rPr>
                <w:b/>
                <w:color w:val="000000" w:themeColor="text1"/>
              </w:rPr>
            </w:pPr>
            <w:r w:rsidRPr="00781112">
              <w:rPr>
                <w:rFonts w:cs="Arial"/>
                <w:b/>
                <w:color w:val="000000" w:themeColor="text1"/>
                <w:szCs w:val="16"/>
              </w:rPr>
              <w:t>2025</w:t>
            </w:r>
          </w:p>
        </w:tc>
      </w:tr>
      <w:tr w:rsidR="00B14519" w:rsidRPr="00781112" w14:paraId="169ED4F0" w14:textId="16F5CD6F" w:rsidTr="00451D7E">
        <w:trPr>
          <w:trHeight w:val="432"/>
        </w:trPr>
        <w:tc>
          <w:tcPr>
            <w:tcW w:w="833" w:type="pct"/>
            <w:shd w:val="clear" w:color="auto" w:fill="auto"/>
            <w:vAlign w:val="center"/>
          </w:tcPr>
          <w:p w14:paraId="639437BD" w14:textId="77777777" w:rsidR="00B14519" w:rsidRPr="00781112" w:rsidRDefault="00B14519" w:rsidP="00D0796B">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vAlign w:val="center"/>
          </w:tcPr>
          <w:p w14:paraId="482B43E6" w14:textId="62FCF10C" w:rsidR="00B14519" w:rsidRPr="00781112" w:rsidRDefault="00B14519" w:rsidP="00D0796B">
            <w:pPr>
              <w:jc w:val="center"/>
              <w:rPr>
                <w:rFonts w:cs="Arial"/>
                <w:color w:val="000000" w:themeColor="text1"/>
                <w:szCs w:val="16"/>
              </w:rPr>
            </w:pPr>
            <w:r w:rsidRPr="00781112">
              <w:rPr>
                <w:rFonts w:cs="Arial"/>
                <w:color w:val="000000" w:themeColor="text1"/>
                <w:szCs w:val="16"/>
              </w:rPr>
              <w:t>0%</w:t>
            </w:r>
          </w:p>
        </w:tc>
        <w:tc>
          <w:tcPr>
            <w:tcW w:w="834" w:type="pct"/>
          </w:tcPr>
          <w:p w14:paraId="6ED6CF52" w14:textId="07C8F82B" w:rsidR="00B14519" w:rsidRPr="00781112" w:rsidRDefault="00B14519" w:rsidP="00D0796B">
            <w:pPr>
              <w:jc w:val="center"/>
              <w:rPr>
                <w:rFonts w:cs="Arial"/>
                <w:color w:val="000000" w:themeColor="text1"/>
                <w:szCs w:val="16"/>
              </w:rPr>
            </w:pPr>
            <w:r w:rsidRPr="00781112">
              <w:rPr>
                <w:color w:val="000000" w:themeColor="text1"/>
                <w:szCs w:val="16"/>
              </w:rPr>
              <w:t>0%</w:t>
            </w:r>
          </w:p>
        </w:tc>
        <w:tc>
          <w:tcPr>
            <w:tcW w:w="833" w:type="pct"/>
          </w:tcPr>
          <w:p w14:paraId="41DC7F3D" w14:textId="129F7B75" w:rsidR="00B14519" w:rsidRPr="00781112" w:rsidRDefault="00B14519" w:rsidP="00D0796B">
            <w:pPr>
              <w:jc w:val="center"/>
              <w:rPr>
                <w:rFonts w:cs="Arial"/>
                <w:color w:val="000000" w:themeColor="text1"/>
                <w:szCs w:val="16"/>
              </w:rPr>
            </w:pPr>
            <w:r w:rsidRPr="00781112">
              <w:rPr>
                <w:color w:val="000000" w:themeColor="text1"/>
                <w:szCs w:val="16"/>
              </w:rPr>
              <w:t>0%</w:t>
            </w:r>
          </w:p>
        </w:tc>
        <w:tc>
          <w:tcPr>
            <w:tcW w:w="834" w:type="pct"/>
          </w:tcPr>
          <w:p w14:paraId="430A2A24" w14:textId="13021BDA" w:rsidR="00B14519" w:rsidRPr="00781112" w:rsidRDefault="00B14519" w:rsidP="00D0796B">
            <w:pPr>
              <w:jc w:val="center"/>
              <w:rPr>
                <w:rFonts w:cs="Arial"/>
                <w:color w:val="000000" w:themeColor="text1"/>
                <w:szCs w:val="16"/>
              </w:rPr>
            </w:pPr>
            <w:r w:rsidRPr="00781112">
              <w:rPr>
                <w:color w:val="000000" w:themeColor="text1"/>
                <w:szCs w:val="16"/>
              </w:rPr>
              <w:t>0%</w:t>
            </w:r>
          </w:p>
        </w:tc>
        <w:tc>
          <w:tcPr>
            <w:tcW w:w="833" w:type="pct"/>
          </w:tcPr>
          <w:p w14:paraId="77FF7EE4" w14:textId="56DB4944" w:rsidR="00B14519" w:rsidRPr="00781112" w:rsidRDefault="00B14519" w:rsidP="00D0796B">
            <w:pPr>
              <w:jc w:val="center"/>
              <w:rPr>
                <w:rFonts w:cs="Arial"/>
                <w:color w:val="000000" w:themeColor="text1"/>
                <w:szCs w:val="16"/>
              </w:rPr>
            </w:pPr>
            <w:r w:rsidRPr="00781112">
              <w:rPr>
                <w:color w:val="000000" w:themeColor="text1"/>
                <w:szCs w:val="16"/>
              </w:rPr>
              <w:t>0%</w:t>
            </w:r>
          </w:p>
        </w:tc>
      </w:tr>
    </w:tbl>
    <w:p w14:paraId="52F4815B" w14:textId="77777777" w:rsidR="00BA687C" w:rsidRPr="00781112" w:rsidRDefault="00BA687C" w:rsidP="004369B2">
      <w:pPr>
        <w:rPr>
          <w:color w:val="000000" w:themeColor="text1"/>
        </w:rPr>
      </w:pPr>
    </w:p>
    <w:p w14:paraId="7CAE922F" w14:textId="51FA40C3" w:rsidR="005A3C12" w:rsidRPr="00781112" w:rsidRDefault="0047313F">
      <w:pPr>
        <w:rPr>
          <w:b/>
          <w:color w:val="000000" w:themeColor="text1"/>
        </w:rPr>
      </w:pPr>
      <w:r>
        <w:rPr>
          <w:b/>
          <w:color w:val="000000" w:themeColor="text1"/>
        </w:rPr>
        <w:t>FFY 2021 SPP/APR Data</w:t>
      </w:r>
    </w:p>
    <w:p w14:paraId="2910402D" w14:textId="579385FD"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51881593" w14:textId="15FAF06D" w:rsidR="00C2395D" w:rsidRPr="00781112" w:rsidRDefault="00C2395D">
      <w:pPr>
        <w:rPr>
          <w:rFonts w:cs="Arial"/>
          <w:color w:val="000000" w:themeColor="text1"/>
          <w:szCs w:val="16"/>
        </w:rPr>
      </w:pPr>
      <w:bookmarkStart w:id="57" w:name="_Hlk20258880"/>
      <w:r w:rsidRPr="00781112">
        <w:rPr>
          <w:rFonts w:cs="Arial"/>
          <w:color w:val="000000" w:themeColor="text1"/>
          <w:szCs w:val="16"/>
        </w:rPr>
        <w:t>YES</w:t>
      </w:r>
    </w:p>
    <w:bookmarkEnd w:id="57"/>
    <w:p w14:paraId="68C2343A" w14:textId="52DDFC94" w:rsidR="00C2395D" w:rsidRPr="00781112" w:rsidRDefault="00C2395D">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0B319A04" w14:textId="0BE2333F" w:rsidR="00C2395D" w:rsidRPr="00781112" w:rsidRDefault="00C2395D">
      <w:pPr>
        <w:rPr>
          <w:rFonts w:cs="Arial"/>
          <w:color w:val="000000" w:themeColor="text1"/>
          <w:szCs w:val="16"/>
        </w:rPr>
      </w:pPr>
      <w:r w:rsidRPr="00781112">
        <w:rPr>
          <w:rFonts w:cs="Arial"/>
          <w:color w:val="000000" w:themeColor="text1"/>
          <w:szCs w:val="16"/>
        </w:rPr>
        <w:t>126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488"/>
        <w:gridCol w:w="1488"/>
        <w:gridCol w:w="1720"/>
        <w:gridCol w:w="1073"/>
        <w:gridCol w:w="1638"/>
        <w:gridCol w:w="958"/>
        <w:gridCol w:w="1233"/>
        <w:gridCol w:w="1192"/>
      </w:tblGrid>
      <w:tr w:rsidR="00206A65" w:rsidRPr="00781112" w14:paraId="46B7EEE9" w14:textId="299BDFCD" w:rsidTr="002B4D97">
        <w:trPr>
          <w:trHeight w:val="354"/>
        </w:trPr>
        <w:tc>
          <w:tcPr>
            <w:tcW w:w="556" w:type="pct"/>
            <w:shd w:val="clear" w:color="auto" w:fill="auto"/>
            <w:vAlign w:val="bottom"/>
          </w:tcPr>
          <w:p w14:paraId="0E28349C" w14:textId="44D9601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shd w:val="clear" w:color="auto" w:fill="auto"/>
            <w:vAlign w:val="bottom"/>
          </w:tcPr>
          <w:p w14:paraId="3776FC0B" w14:textId="62483782"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shd w:val="clear" w:color="auto" w:fill="auto"/>
            <w:vAlign w:val="bottom"/>
          </w:tcPr>
          <w:p w14:paraId="355E2973" w14:textId="5007428A"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37" w:type="pct"/>
            <w:shd w:val="clear" w:color="auto" w:fill="auto"/>
            <w:vAlign w:val="bottom"/>
          </w:tcPr>
          <w:p w14:paraId="7466F790" w14:textId="0893553B" w:rsidR="00206A65" w:rsidRPr="00CC1061" w:rsidRDefault="00206A65" w:rsidP="00206A65">
            <w:pPr>
              <w:jc w:val="center"/>
              <w:rPr>
                <w:b/>
                <w:bCs/>
                <w:color w:val="000000" w:themeColor="text1"/>
              </w:rPr>
            </w:pPr>
            <w:r w:rsidRPr="00CC1061">
              <w:rPr>
                <w:b/>
                <w:bCs/>
              </w:rPr>
              <w:t>FFY 2020 Data</w:t>
            </w:r>
          </w:p>
        </w:tc>
        <w:tc>
          <w:tcPr>
            <w:tcW w:w="799" w:type="pct"/>
            <w:shd w:val="clear" w:color="auto" w:fill="auto"/>
            <w:vAlign w:val="bottom"/>
          </w:tcPr>
          <w:p w14:paraId="72475F3B" w14:textId="17396A7D" w:rsidR="00206A65" w:rsidRPr="00CC1061" w:rsidRDefault="00206A65" w:rsidP="00206A65">
            <w:pPr>
              <w:jc w:val="center"/>
              <w:rPr>
                <w:b/>
                <w:bCs/>
                <w:color w:val="000000" w:themeColor="text1"/>
              </w:rPr>
            </w:pPr>
            <w:r w:rsidRPr="00CC1061">
              <w:rPr>
                <w:b/>
                <w:bCs/>
              </w:rPr>
              <w:t>FFY 2021 Target</w:t>
            </w:r>
          </w:p>
        </w:tc>
        <w:tc>
          <w:tcPr>
            <w:tcW w:w="484" w:type="pct"/>
            <w:shd w:val="clear" w:color="auto" w:fill="auto"/>
            <w:vAlign w:val="bottom"/>
          </w:tcPr>
          <w:p w14:paraId="71FC938A" w14:textId="10B6FDC7" w:rsidR="00206A65" w:rsidRPr="00CC1061" w:rsidRDefault="00206A65" w:rsidP="00206A65">
            <w:pPr>
              <w:jc w:val="center"/>
              <w:rPr>
                <w:b/>
                <w:bCs/>
                <w:color w:val="000000" w:themeColor="text1"/>
              </w:rPr>
            </w:pPr>
            <w:r w:rsidRPr="00CC1061">
              <w:rPr>
                <w:b/>
                <w:bCs/>
              </w:rPr>
              <w:t>FFY 2021 Data</w:t>
            </w:r>
          </w:p>
        </w:tc>
        <w:tc>
          <w:tcPr>
            <w:tcW w:w="611" w:type="pct"/>
            <w:shd w:val="clear" w:color="auto" w:fill="auto"/>
            <w:vAlign w:val="bottom"/>
          </w:tcPr>
          <w:p w14:paraId="3412B11F" w14:textId="60F985B5" w:rsidR="00206A65" w:rsidRPr="00781112" w:rsidRDefault="00206A65" w:rsidP="00206A65">
            <w:pPr>
              <w:jc w:val="center"/>
              <w:rPr>
                <w:b/>
                <w:color w:val="000000" w:themeColor="text1"/>
              </w:rPr>
            </w:pPr>
            <w:r w:rsidRPr="00781112">
              <w:rPr>
                <w:b/>
                <w:color w:val="000000" w:themeColor="text1"/>
              </w:rPr>
              <w:t>Status</w:t>
            </w:r>
          </w:p>
        </w:tc>
        <w:tc>
          <w:tcPr>
            <w:tcW w:w="592" w:type="pct"/>
            <w:shd w:val="clear" w:color="auto" w:fill="auto"/>
            <w:vAlign w:val="bottom"/>
          </w:tcPr>
          <w:p w14:paraId="5BE578EA" w14:textId="42655681"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15B9A5E7" w14:textId="77777777" w:rsidTr="002B4D97">
        <w:tblPrEx>
          <w:jc w:val="center"/>
        </w:tblPrEx>
        <w:trPr>
          <w:trHeight w:val="361"/>
          <w:jc w:val="center"/>
        </w:trPr>
        <w:tc>
          <w:tcPr>
            <w:tcW w:w="556" w:type="pct"/>
            <w:shd w:val="clear" w:color="auto" w:fill="auto"/>
            <w:vAlign w:val="center"/>
          </w:tcPr>
          <w:p w14:paraId="4E60E5C8" w14:textId="6324B6DD" w:rsidR="00832807" w:rsidRPr="00781112" w:rsidRDefault="002B7490" w:rsidP="00A018D4">
            <w:pPr>
              <w:jc w:val="center"/>
              <w:rPr>
                <w:rFonts w:cs="Arial"/>
                <w:color w:val="000000" w:themeColor="text1"/>
                <w:szCs w:val="16"/>
              </w:rPr>
            </w:pPr>
            <w:r w:rsidRPr="00781112">
              <w:rPr>
                <w:rFonts w:cs="Arial"/>
                <w:color w:val="000000" w:themeColor="text1"/>
                <w:szCs w:val="16"/>
              </w:rPr>
              <w:t>63</w:t>
            </w:r>
          </w:p>
        </w:tc>
        <w:tc>
          <w:tcPr>
            <w:tcW w:w="583" w:type="pct"/>
            <w:shd w:val="clear" w:color="auto" w:fill="auto"/>
            <w:vAlign w:val="center"/>
          </w:tcPr>
          <w:p w14:paraId="765C1600" w14:textId="09979D5F" w:rsidR="00832807" w:rsidRPr="00781112" w:rsidRDefault="002B7490">
            <w:pPr>
              <w:jc w:val="center"/>
              <w:rPr>
                <w:rFonts w:cs="Arial"/>
                <w:color w:val="000000" w:themeColor="text1"/>
                <w:szCs w:val="16"/>
              </w:rPr>
            </w:pPr>
            <w:r w:rsidRPr="00781112">
              <w:rPr>
                <w:rFonts w:cs="Arial"/>
                <w:color w:val="000000" w:themeColor="text1"/>
                <w:szCs w:val="16"/>
              </w:rPr>
              <w:t>0</w:t>
            </w:r>
          </w:p>
        </w:tc>
        <w:tc>
          <w:tcPr>
            <w:tcW w:w="837" w:type="pct"/>
            <w:shd w:val="clear" w:color="auto" w:fill="auto"/>
          </w:tcPr>
          <w:p w14:paraId="2F5939A9" w14:textId="0BB9A6FC" w:rsidR="00832807" w:rsidRPr="00781112" w:rsidRDefault="002B7490">
            <w:pPr>
              <w:jc w:val="center"/>
              <w:rPr>
                <w:rFonts w:cs="Arial"/>
                <w:color w:val="000000" w:themeColor="text1"/>
                <w:szCs w:val="16"/>
              </w:rPr>
            </w:pPr>
            <w:r w:rsidRPr="00781112">
              <w:rPr>
                <w:rFonts w:cs="Arial"/>
                <w:color w:val="000000" w:themeColor="text1"/>
                <w:szCs w:val="16"/>
              </w:rPr>
              <w:t>418</w:t>
            </w:r>
          </w:p>
        </w:tc>
        <w:tc>
          <w:tcPr>
            <w:tcW w:w="537" w:type="pct"/>
            <w:shd w:val="clear" w:color="auto" w:fill="auto"/>
          </w:tcPr>
          <w:p w14:paraId="0D05C70A" w14:textId="18F3C221"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799" w:type="pct"/>
            <w:shd w:val="clear" w:color="auto" w:fill="auto"/>
          </w:tcPr>
          <w:p w14:paraId="31B1786A" w14:textId="1C0FB493"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shd w:val="clear" w:color="auto" w:fill="auto"/>
          </w:tcPr>
          <w:p w14:paraId="006553AD" w14:textId="5CF8CF00"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611" w:type="pct"/>
            <w:shd w:val="clear" w:color="auto" w:fill="auto"/>
          </w:tcPr>
          <w:p w14:paraId="4A47CD2B" w14:textId="7BEFFB19" w:rsidR="00832807" w:rsidRPr="00781112" w:rsidRDefault="002B7490">
            <w:pPr>
              <w:jc w:val="center"/>
              <w:rPr>
                <w:rFonts w:cs="Arial"/>
                <w:color w:val="000000" w:themeColor="text1"/>
                <w:szCs w:val="16"/>
              </w:rPr>
            </w:pPr>
            <w:r w:rsidRPr="00781112">
              <w:rPr>
                <w:rFonts w:cs="Arial"/>
                <w:color w:val="000000" w:themeColor="text1"/>
                <w:szCs w:val="16"/>
              </w:rPr>
              <w:t>Met target</w:t>
            </w:r>
          </w:p>
        </w:tc>
        <w:tc>
          <w:tcPr>
            <w:tcW w:w="592" w:type="pct"/>
            <w:shd w:val="clear" w:color="auto" w:fill="auto"/>
          </w:tcPr>
          <w:p w14:paraId="3F96C2BD" w14:textId="2A9BD6CA" w:rsidR="00832807" w:rsidRPr="00781112" w:rsidRDefault="002B7490">
            <w:pPr>
              <w:jc w:val="center"/>
              <w:rPr>
                <w:rFonts w:cs="Arial"/>
                <w:color w:val="000000" w:themeColor="text1"/>
                <w:szCs w:val="16"/>
              </w:rPr>
            </w:pPr>
            <w:r w:rsidRPr="00781112">
              <w:rPr>
                <w:rFonts w:cs="Arial"/>
                <w:color w:val="000000" w:themeColor="text1"/>
                <w:szCs w:val="16"/>
              </w:rPr>
              <w:t>No Slippage</w:t>
            </w:r>
          </w:p>
        </w:tc>
      </w:tr>
    </w:tbl>
    <w:p w14:paraId="59BA2CEF" w14:textId="4C50742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590ED0F" w14:textId="7DC32C1D" w:rsidR="00590296" w:rsidRPr="00781112" w:rsidRDefault="00590296" w:rsidP="00B6413B">
      <w:pPr>
        <w:rPr>
          <w:rFonts w:cs="Arial"/>
          <w:color w:val="000000" w:themeColor="text1"/>
          <w:szCs w:val="16"/>
        </w:rPr>
      </w:pPr>
      <w:r w:rsidRPr="00781112">
        <w:rPr>
          <w:rFonts w:cs="Arial"/>
          <w:color w:val="000000" w:themeColor="text1"/>
          <w:szCs w:val="16"/>
        </w:rPr>
        <w:t>YES</w:t>
      </w:r>
    </w:p>
    <w:p w14:paraId="6EC83BB6" w14:textId="77777777"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5C0E7099" w14:textId="60F75C08" w:rsidR="00481536" w:rsidRPr="00781112" w:rsidRDefault="002B7490" w:rsidP="003817C0">
      <w:pPr>
        <w:rPr>
          <w:rFonts w:cs="Arial"/>
          <w:color w:val="000000" w:themeColor="text1"/>
          <w:szCs w:val="16"/>
        </w:rPr>
      </w:pPr>
      <w:r w:rsidRPr="00781112">
        <w:rPr>
          <w:rFonts w:cs="Arial"/>
          <w:color w:val="000000" w:themeColor="text1"/>
          <w:szCs w:val="16"/>
        </w:rPr>
        <w:t>The OSDE-SES has defined “disproportionate representation” as a risk ratio of 2.6 or greater (overrepresentation) in any given year (every one year). When disproportionate representation is determined for a district, the OSDE-SES will determine if the disproportionality is the result of inappropriate identification by reviewing policies, practices and procedures as submitted by the LEA. Data for each district and charter school were analyzed for all racial and ethnic groups and the six most common disability categories.</w:t>
      </w:r>
      <w:r w:rsidRPr="00781112">
        <w:rPr>
          <w:rFonts w:cs="Arial"/>
          <w:color w:val="000000" w:themeColor="text1"/>
          <w:szCs w:val="16"/>
        </w:rPr>
        <w:br/>
      </w:r>
      <w:r w:rsidRPr="00781112">
        <w:rPr>
          <w:rFonts w:cs="Arial"/>
          <w:color w:val="000000" w:themeColor="text1"/>
          <w:szCs w:val="16"/>
        </w:rPr>
        <w:br/>
        <w:t>Calculating Disproportionate Representation</w:t>
      </w:r>
      <w:r w:rsidRPr="00781112">
        <w:rPr>
          <w:rFonts w:cs="Arial"/>
          <w:color w:val="000000" w:themeColor="text1"/>
          <w:szCs w:val="16"/>
        </w:rPr>
        <w:br/>
        <w:t>OSDE-SES calculated a risk ratio for each of the seven racial/ethnic categories in each LEA: overall risk of identification is determined by comparing the risk of any racial/ethnic group to the risk of all other racial/ethnic groups in each of six disability categories.</w:t>
      </w:r>
      <w:r w:rsidRPr="00781112">
        <w:rPr>
          <w:rFonts w:cs="Arial"/>
          <w:color w:val="000000" w:themeColor="text1"/>
          <w:szCs w:val="16"/>
        </w:rPr>
        <w:br/>
      </w:r>
      <w:r w:rsidRPr="00781112">
        <w:rPr>
          <w:rFonts w:cs="Arial"/>
          <w:color w:val="000000" w:themeColor="text1"/>
          <w:szCs w:val="16"/>
        </w:rPr>
        <w:br/>
        <w:t>To be included in the analysis, a group must have at least 10 students in a specific primary disability category (or suspected, if developmental delay) of a particular racial/ethnic category and at least 10 students in the same racial/ethnic category in overall enrollment. That group risk is then compared to either the LEA or the state risk for all other students. For the LEA comparison group to be used, the LEA must have at least 10 students in the particular disability category in 'all other' racial/ethnic categories and at least 10 students in 'all other' racial/ethnic categories in overall enrollment; otherwise the statewide comparison group risk was used. OSDE-SES identified districts with a risk ratio of 2.6 or greater as disproportionate in a particular disability category for a specific racial/ethnic category. The data source for Oklahoma’s analysis was Table 1 (Child Count) of Information Collection 1820-0043 (Report of Children with Disabilities Receiving Special Education under Part B of the IDEA) for all children with disabilities aged 5 in KG through 21 served under the IDEA.</w:t>
      </w:r>
    </w:p>
    <w:p w14:paraId="469A27F6" w14:textId="13AEF7C8"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37B23307" w14:textId="467F2F39" w:rsidR="00481536" w:rsidRPr="00781112" w:rsidRDefault="002B7490" w:rsidP="003817C0">
      <w:pPr>
        <w:rPr>
          <w:rFonts w:cs="Arial"/>
          <w:color w:val="000000" w:themeColor="text1"/>
          <w:szCs w:val="16"/>
        </w:rPr>
      </w:pPr>
      <w:r w:rsidRPr="00781112">
        <w:rPr>
          <w:rFonts w:cs="Arial"/>
          <w:color w:val="000000" w:themeColor="text1"/>
          <w:szCs w:val="16"/>
        </w:rPr>
        <w:t>Annually, districts are required to upload their policies, practices and procedures related to special education identification in the LEA Assurances and Agreement. Districts are notified of any disproportionality when they receive their annual District Data Profile. Those identified as being disproportionate in one or more racial and ethnic groups are subject to an in-depth review of their policies, procedures, and practices with attention to the development and implementation of a comprehensive referral and evaluation process, including procedural safeguards. These reviews are conducted by experienced and knowledgeable SEA personnel who flag problematic policies, practices and procedures for discussion and additional review. If any indicate inappropriate identification is a concern, OSDE-SES will work with the LEA for revision and improvement. A review of policies, procedures, and practices occurs during all general supervision and monitoring activities, also.</w:t>
      </w:r>
    </w:p>
    <w:p w14:paraId="1FCF1BF3" w14:textId="77777777" w:rsidR="00DF1529" w:rsidRPr="00781112" w:rsidRDefault="00DF1529" w:rsidP="00DF1529">
      <w:pPr>
        <w:rPr>
          <w:rFonts w:cs="Arial"/>
          <w:b/>
          <w:color w:val="000000" w:themeColor="text1"/>
          <w:szCs w:val="16"/>
        </w:rPr>
      </w:pPr>
      <w:bookmarkStart w:id="58" w:name="_Toc381956338"/>
      <w:bookmarkStart w:id="59" w:name="_Toc384383352"/>
      <w:bookmarkStart w:id="60" w:name="_Toc392159320"/>
      <w:r w:rsidRPr="00781112">
        <w:rPr>
          <w:rFonts w:cs="Arial"/>
          <w:b/>
          <w:color w:val="000000" w:themeColor="text1"/>
          <w:szCs w:val="16"/>
        </w:rPr>
        <w:t>Provide additional information about this indicator (optional)</w:t>
      </w:r>
    </w:p>
    <w:p w14:paraId="6A3194C2" w14:textId="40939986" w:rsidR="00481536" w:rsidRPr="00781112" w:rsidRDefault="002B7490" w:rsidP="007D435F">
      <w:pPr>
        <w:rPr>
          <w:rFonts w:cs="Arial"/>
          <w:color w:val="000000" w:themeColor="text1"/>
          <w:szCs w:val="16"/>
        </w:rPr>
      </w:pPr>
      <w:r w:rsidRPr="00781112">
        <w:rPr>
          <w:rFonts w:cs="Arial"/>
          <w:color w:val="000000" w:themeColor="text1"/>
          <w:szCs w:val="16"/>
        </w:rPr>
        <w:t>The data for indicator 9 reflect the child count collected on October 1, 2021.</w:t>
      </w:r>
    </w:p>
    <w:p w14:paraId="4638F78F" w14:textId="77777777" w:rsidR="00BA687C" w:rsidRPr="00781112" w:rsidRDefault="00BA687C" w:rsidP="004369B2">
      <w:pPr>
        <w:rPr>
          <w:color w:val="000000" w:themeColor="text1"/>
        </w:rPr>
      </w:pPr>
    </w:p>
    <w:p w14:paraId="6268B372" w14:textId="57326FE4" w:rsidR="009A755E" w:rsidRPr="00781112" w:rsidRDefault="00450F98" w:rsidP="004369B2">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10PFFYNCFINDINGS"/>
      </w:tblPr>
      <w:tblGrid>
        <w:gridCol w:w="2650"/>
        <w:gridCol w:w="2780"/>
        <w:gridCol w:w="2656"/>
        <w:gridCol w:w="2704"/>
      </w:tblGrid>
      <w:tr w:rsidR="005C29F8" w:rsidRPr="00781112" w14:paraId="56588706" w14:textId="77777777" w:rsidTr="0033429D">
        <w:trPr>
          <w:trHeight w:val="389"/>
          <w:tblHeader/>
        </w:trPr>
        <w:tc>
          <w:tcPr>
            <w:tcW w:w="1228" w:type="pct"/>
            <w:shd w:val="clear" w:color="auto" w:fill="auto"/>
            <w:vAlign w:val="bottom"/>
          </w:tcPr>
          <w:p w14:paraId="65B8FFC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05391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79BBE35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380C990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6EB489" w14:textId="77777777" w:rsidTr="00690A61">
        <w:tc>
          <w:tcPr>
            <w:tcW w:w="1228" w:type="pct"/>
            <w:shd w:val="clear" w:color="auto" w:fill="auto"/>
          </w:tcPr>
          <w:p w14:paraId="1D40E253" w14:textId="63B8E0E2"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5D374844" w14:textId="5622CFF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2CDC48CC" w14:textId="2F00947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9E189C3" w14:textId="39CA8E23"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60BB42FC" w14:textId="2A8B007E" w:rsidR="009A755E" w:rsidRPr="00781112" w:rsidRDefault="00450F98" w:rsidP="004369B2">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10BPPFFYNCFINDINGS"/>
      </w:tblPr>
      <w:tblGrid>
        <w:gridCol w:w="1888"/>
        <w:gridCol w:w="3334"/>
        <w:gridCol w:w="2743"/>
        <w:gridCol w:w="2825"/>
      </w:tblGrid>
      <w:tr w:rsidR="005C29F8" w:rsidRPr="00781112" w14:paraId="730926F0" w14:textId="77777777" w:rsidTr="00690A61">
        <w:trPr>
          <w:tblHeader/>
        </w:trPr>
        <w:tc>
          <w:tcPr>
            <w:tcW w:w="875" w:type="pct"/>
            <w:shd w:val="clear" w:color="auto" w:fill="auto"/>
            <w:vAlign w:val="bottom"/>
          </w:tcPr>
          <w:p w14:paraId="0B05B92F" w14:textId="50A415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545" w:type="pct"/>
            <w:shd w:val="clear" w:color="auto" w:fill="auto"/>
            <w:vAlign w:val="bottom"/>
          </w:tcPr>
          <w:p w14:paraId="759DE84F" w14:textId="319E9F24"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271" w:type="pct"/>
            <w:shd w:val="clear" w:color="auto" w:fill="auto"/>
            <w:vAlign w:val="bottom"/>
          </w:tcPr>
          <w:p w14:paraId="45E60D4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shd w:val="clear" w:color="auto" w:fill="auto"/>
            <w:vAlign w:val="bottom"/>
          </w:tcPr>
          <w:p w14:paraId="2598D3F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7C292A1" w14:textId="77777777" w:rsidTr="00690A61">
        <w:tc>
          <w:tcPr>
            <w:tcW w:w="875" w:type="pct"/>
            <w:shd w:val="clear" w:color="auto" w:fill="auto"/>
          </w:tcPr>
          <w:p w14:paraId="4127AE76" w14:textId="36C06893" w:rsidR="009A755E" w:rsidRPr="00781112" w:rsidRDefault="009A755E" w:rsidP="00A018D4">
            <w:pPr>
              <w:jc w:val="center"/>
              <w:rPr>
                <w:rFonts w:cs="Arial"/>
                <w:color w:val="000000" w:themeColor="text1"/>
                <w:szCs w:val="16"/>
              </w:rPr>
            </w:pPr>
          </w:p>
        </w:tc>
        <w:tc>
          <w:tcPr>
            <w:tcW w:w="1545" w:type="pct"/>
            <w:shd w:val="clear" w:color="auto" w:fill="auto"/>
          </w:tcPr>
          <w:p w14:paraId="2A5CC6A6" w14:textId="3962DD57" w:rsidR="009A755E" w:rsidRPr="00781112" w:rsidRDefault="009A755E">
            <w:pPr>
              <w:jc w:val="center"/>
              <w:rPr>
                <w:rFonts w:cs="Arial"/>
                <w:noProof/>
                <w:color w:val="000000" w:themeColor="text1"/>
                <w:szCs w:val="16"/>
              </w:rPr>
            </w:pPr>
          </w:p>
        </w:tc>
        <w:tc>
          <w:tcPr>
            <w:tcW w:w="1271" w:type="pct"/>
            <w:shd w:val="clear" w:color="auto" w:fill="auto"/>
          </w:tcPr>
          <w:p w14:paraId="443DA9B8" w14:textId="5BA02353" w:rsidR="009A755E" w:rsidRPr="00781112" w:rsidRDefault="009A755E">
            <w:pPr>
              <w:jc w:val="center"/>
              <w:rPr>
                <w:rFonts w:cs="Arial"/>
                <w:noProof/>
                <w:color w:val="000000" w:themeColor="text1"/>
                <w:szCs w:val="16"/>
              </w:rPr>
            </w:pPr>
          </w:p>
        </w:tc>
        <w:tc>
          <w:tcPr>
            <w:tcW w:w="1309" w:type="pct"/>
            <w:shd w:val="clear" w:color="auto" w:fill="auto"/>
          </w:tcPr>
          <w:p w14:paraId="0CA4C267" w14:textId="5E5F97F2" w:rsidR="009A755E" w:rsidRPr="00781112" w:rsidRDefault="009A755E">
            <w:pPr>
              <w:jc w:val="center"/>
              <w:rPr>
                <w:rFonts w:cs="Arial"/>
                <w:noProof/>
                <w:color w:val="000000" w:themeColor="text1"/>
                <w:szCs w:val="16"/>
              </w:rPr>
            </w:pPr>
          </w:p>
        </w:tc>
      </w:tr>
      <w:tr w:rsidR="005C29F8" w:rsidRPr="00781112" w14:paraId="21AB92FA" w14:textId="77777777" w:rsidTr="00690A61">
        <w:tc>
          <w:tcPr>
            <w:tcW w:w="875" w:type="pct"/>
            <w:shd w:val="clear" w:color="auto" w:fill="auto"/>
          </w:tcPr>
          <w:p w14:paraId="6E800094" w14:textId="1F782081" w:rsidR="009A755E" w:rsidRPr="00781112" w:rsidRDefault="009A755E" w:rsidP="00A018D4">
            <w:pPr>
              <w:jc w:val="center"/>
              <w:rPr>
                <w:rFonts w:cs="Arial"/>
                <w:color w:val="000000" w:themeColor="text1"/>
                <w:szCs w:val="16"/>
              </w:rPr>
            </w:pPr>
          </w:p>
        </w:tc>
        <w:tc>
          <w:tcPr>
            <w:tcW w:w="1545" w:type="pct"/>
            <w:shd w:val="clear" w:color="auto" w:fill="auto"/>
          </w:tcPr>
          <w:p w14:paraId="3FA322A7" w14:textId="2543A74B" w:rsidR="009A755E" w:rsidRPr="00781112" w:rsidRDefault="009A755E">
            <w:pPr>
              <w:jc w:val="center"/>
              <w:rPr>
                <w:rFonts w:cs="Arial"/>
                <w:noProof/>
                <w:color w:val="000000" w:themeColor="text1"/>
                <w:szCs w:val="16"/>
              </w:rPr>
            </w:pPr>
          </w:p>
        </w:tc>
        <w:tc>
          <w:tcPr>
            <w:tcW w:w="1271" w:type="pct"/>
            <w:shd w:val="clear" w:color="auto" w:fill="auto"/>
          </w:tcPr>
          <w:p w14:paraId="7075484B" w14:textId="56719905" w:rsidR="009A755E" w:rsidRPr="00781112" w:rsidRDefault="009A755E">
            <w:pPr>
              <w:jc w:val="center"/>
              <w:rPr>
                <w:rFonts w:cs="Arial"/>
                <w:noProof/>
                <w:color w:val="000000" w:themeColor="text1"/>
                <w:szCs w:val="16"/>
              </w:rPr>
            </w:pPr>
          </w:p>
        </w:tc>
        <w:tc>
          <w:tcPr>
            <w:tcW w:w="1309" w:type="pct"/>
            <w:shd w:val="clear" w:color="auto" w:fill="auto"/>
          </w:tcPr>
          <w:p w14:paraId="5E63471A" w14:textId="5230E0AF" w:rsidR="009A755E" w:rsidRPr="00781112" w:rsidRDefault="009A755E">
            <w:pPr>
              <w:jc w:val="center"/>
              <w:rPr>
                <w:rFonts w:cs="Arial"/>
                <w:noProof/>
                <w:color w:val="000000" w:themeColor="text1"/>
                <w:szCs w:val="16"/>
              </w:rPr>
            </w:pPr>
          </w:p>
        </w:tc>
      </w:tr>
      <w:tr w:rsidR="005C29F8" w:rsidRPr="00781112" w14:paraId="57ACE7BC" w14:textId="77777777" w:rsidTr="00690A61">
        <w:tc>
          <w:tcPr>
            <w:tcW w:w="875" w:type="pct"/>
            <w:shd w:val="clear" w:color="auto" w:fill="auto"/>
          </w:tcPr>
          <w:p w14:paraId="4E325530" w14:textId="03DA8FEF" w:rsidR="009A755E" w:rsidRPr="00781112" w:rsidRDefault="009A755E" w:rsidP="00A018D4">
            <w:pPr>
              <w:jc w:val="center"/>
              <w:rPr>
                <w:rFonts w:cs="Arial"/>
                <w:color w:val="000000" w:themeColor="text1"/>
                <w:szCs w:val="16"/>
              </w:rPr>
            </w:pPr>
          </w:p>
        </w:tc>
        <w:tc>
          <w:tcPr>
            <w:tcW w:w="1545" w:type="pct"/>
            <w:shd w:val="clear" w:color="auto" w:fill="auto"/>
          </w:tcPr>
          <w:p w14:paraId="7BFB0081" w14:textId="12B35F6B" w:rsidR="009A755E" w:rsidRPr="00781112" w:rsidRDefault="009A755E">
            <w:pPr>
              <w:jc w:val="center"/>
              <w:rPr>
                <w:rFonts w:cs="Arial"/>
                <w:noProof/>
                <w:color w:val="000000" w:themeColor="text1"/>
                <w:szCs w:val="16"/>
              </w:rPr>
            </w:pPr>
          </w:p>
        </w:tc>
        <w:tc>
          <w:tcPr>
            <w:tcW w:w="1271" w:type="pct"/>
            <w:shd w:val="clear" w:color="auto" w:fill="auto"/>
          </w:tcPr>
          <w:p w14:paraId="674F4E8B" w14:textId="257F6F9E" w:rsidR="009A755E" w:rsidRPr="00781112" w:rsidRDefault="009A755E">
            <w:pPr>
              <w:jc w:val="center"/>
              <w:rPr>
                <w:rFonts w:cs="Arial"/>
                <w:noProof/>
                <w:color w:val="000000" w:themeColor="text1"/>
                <w:szCs w:val="16"/>
              </w:rPr>
            </w:pPr>
          </w:p>
        </w:tc>
        <w:tc>
          <w:tcPr>
            <w:tcW w:w="1309" w:type="pct"/>
            <w:shd w:val="clear" w:color="auto" w:fill="auto"/>
          </w:tcPr>
          <w:p w14:paraId="68852A19" w14:textId="65403F00" w:rsidR="009A755E" w:rsidRPr="00781112" w:rsidRDefault="009A755E">
            <w:pPr>
              <w:jc w:val="center"/>
              <w:rPr>
                <w:rFonts w:cs="Arial"/>
                <w:noProof/>
                <w:color w:val="000000" w:themeColor="text1"/>
                <w:szCs w:val="16"/>
              </w:rPr>
            </w:pPr>
          </w:p>
        </w:tc>
      </w:tr>
    </w:tbl>
    <w:p w14:paraId="53A11FEB" w14:textId="6CFF8254" w:rsidR="004E2151" w:rsidRPr="00781112" w:rsidRDefault="009F64D5" w:rsidP="008645AD">
      <w:pPr>
        <w:pStyle w:val="Heading2"/>
      </w:pPr>
      <w:r w:rsidRPr="00781112">
        <w:t>10</w:t>
      </w:r>
      <w:r w:rsidR="00596F4D" w:rsidRPr="00781112">
        <w:t xml:space="preserve"> </w:t>
      </w:r>
      <w:r w:rsidRPr="00781112">
        <w:t xml:space="preserve">- </w:t>
      </w:r>
      <w:r w:rsidR="004E2151" w:rsidRPr="00781112">
        <w:t>Prior FFY Required Actions</w:t>
      </w:r>
    </w:p>
    <w:p w14:paraId="67525E19" w14:textId="2FAD1162" w:rsidR="004E2151" w:rsidRPr="00781112" w:rsidRDefault="002B7490" w:rsidP="004E2151">
      <w:pPr>
        <w:rPr>
          <w:rFonts w:cs="Arial"/>
          <w:color w:val="000000" w:themeColor="text1"/>
          <w:szCs w:val="16"/>
        </w:rPr>
      </w:pPr>
      <w:r w:rsidRPr="00781112">
        <w:rPr>
          <w:rFonts w:cs="Arial"/>
          <w:color w:val="000000" w:themeColor="text1"/>
          <w:szCs w:val="16"/>
        </w:rPr>
        <w:t>None</w:t>
      </w:r>
    </w:p>
    <w:p w14:paraId="7C7C5568" w14:textId="77777777" w:rsidR="009F69E7" w:rsidRPr="00781112" w:rsidRDefault="009F69E7" w:rsidP="004E2151">
      <w:pPr>
        <w:rPr>
          <w:rFonts w:cs="Arial"/>
          <w:color w:val="000000" w:themeColor="text1"/>
          <w:szCs w:val="16"/>
        </w:rPr>
      </w:pPr>
    </w:p>
    <w:p w14:paraId="7C3D22D6" w14:textId="3FC2A3F5" w:rsidR="004E2151" w:rsidRPr="00781112" w:rsidRDefault="004E2151" w:rsidP="004E2151">
      <w:pPr>
        <w:rPr>
          <w:rFonts w:cs="Arial"/>
          <w:color w:val="000000" w:themeColor="text1"/>
          <w:szCs w:val="16"/>
        </w:rPr>
      </w:pPr>
    </w:p>
    <w:p w14:paraId="024AE3FE" w14:textId="2137BFB6" w:rsidR="007F5071" w:rsidRPr="00781112" w:rsidRDefault="008B2598" w:rsidP="008645AD">
      <w:pPr>
        <w:pStyle w:val="Heading2"/>
      </w:pPr>
      <w:r w:rsidRPr="00781112">
        <w:t>10 - OSEP Response</w:t>
      </w:r>
    </w:p>
    <w:p w14:paraId="4384A342" w14:textId="2981C3D3" w:rsidR="00481536" w:rsidRPr="00781112" w:rsidRDefault="00481536" w:rsidP="00212954">
      <w:pPr>
        <w:rPr>
          <w:rFonts w:cs="Arial"/>
          <w:color w:val="000000" w:themeColor="text1"/>
          <w:szCs w:val="16"/>
        </w:rPr>
      </w:pPr>
    </w:p>
    <w:p w14:paraId="36F60250" w14:textId="56BA36D9" w:rsidR="007F5071" w:rsidRPr="00781112" w:rsidRDefault="007C1BCF" w:rsidP="008645AD">
      <w:pPr>
        <w:pStyle w:val="Heading2"/>
      </w:pPr>
      <w:r w:rsidRPr="00781112">
        <w:t xml:space="preserve">10 - </w:t>
      </w:r>
      <w:r w:rsidR="007F5071" w:rsidRPr="00781112">
        <w:t>Required Actions</w:t>
      </w:r>
    </w:p>
    <w:p w14:paraId="12C0EBBF" w14:textId="69C4D7D0" w:rsidR="00481536" w:rsidRPr="00781112" w:rsidRDefault="00481536" w:rsidP="00212954">
      <w:pPr>
        <w:rPr>
          <w:rFonts w:cs="Arial"/>
          <w:color w:val="000000" w:themeColor="text1"/>
          <w:szCs w:val="16"/>
        </w:rPr>
      </w:pPr>
    </w:p>
    <w:p w14:paraId="2B0C5DE2"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F067DF" w14:textId="45BAD1B8" w:rsidR="00D03701" w:rsidRPr="00781112" w:rsidRDefault="00D03701" w:rsidP="000444E2">
      <w:pPr>
        <w:pStyle w:val="Heading1"/>
        <w:rPr>
          <w:color w:val="000000" w:themeColor="text1"/>
          <w:sz w:val="22"/>
        </w:rPr>
      </w:pPr>
      <w:r w:rsidRPr="00781112">
        <w:rPr>
          <w:color w:val="000000" w:themeColor="text1"/>
          <w:sz w:val="22"/>
        </w:rPr>
        <w:t>Indicator 11: Child Find</w:t>
      </w:r>
      <w:bookmarkEnd w:id="58"/>
      <w:bookmarkEnd w:id="59"/>
      <w:bookmarkEnd w:id="60"/>
    </w:p>
    <w:p w14:paraId="4F5D642D" w14:textId="77777777" w:rsidR="00E119B0" w:rsidRPr="00781112" w:rsidRDefault="00E119B0" w:rsidP="00A018D4">
      <w:pPr>
        <w:rPr>
          <w:color w:val="000000" w:themeColor="text1"/>
          <w:szCs w:val="20"/>
        </w:rPr>
      </w:pPr>
      <w:bookmarkStart w:id="61" w:name="_Toc384383353"/>
      <w:bookmarkStart w:id="62" w:name="_Toc392159321"/>
      <w:r w:rsidRPr="00781112">
        <w:rPr>
          <w:b/>
          <w:color w:val="000000" w:themeColor="text1"/>
          <w:sz w:val="20"/>
          <w:szCs w:val="20"/>
        </w:rPr>
        <w:t>Instructions and Measurement</w:t>
      </w:r>
    </w:p>
    <w:p w14:paraId="4ECD8CEF" w14:textId="094F874E"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56D17CB3"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3EA48C22" w14:textId="29F5D3F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3DA9D44A" w14:textId="77777777" w:rsidR="003356F1" w:rsidRPr="00781112" w:rsidRDefault="003356F1" w:rsidP="004369B2">
      <w:pPr>
        <w:rPr>
          <w:color w:val="000000" w:themeColor="text1"/>
        </w:rPr>
      </w:pPr>
      <w:r w:rsidRPr="00781112">
        <w:rPr>
          <w:b/>
          <w:color w:val="000000" w:themeColor="text1"/>
        </w:rPr>
        <w:t>Data Source</w:t>
      </w:r>
    </w:p>
    <w:p w14:paraId="3741FEFD" w14:textId="2D50FC3E"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79DFFD28" w14:textId="77777777" w:rsidR="003356F1" w:rsidRPr="00781112" w:rsidRDefault="003356F1" w:rsidP="004369B2">
      <w:pPr>
        <w:rPr>
          <w:color w:val="000000" w:themeColor="text1"/>
        </w:rPr>
      </w:pPr>
      <w:r w:rsidRPr="00781112">
        <w:rPr>
          <w:b/>
          <w:color w:val="000000" w:themeColor="text1"/>
        </w:rPr>
        <w:t>Measurement</w:t>
      </w:r>
    </w:p>
    <w:p w14:paraId="6421FFFB" w14:textId="6BB4E0C2"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14:paraId="07661B9A" w14:textId="43097164"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733D8722" w14:textId="77777777" w:rsidR="003356F1" w:rsidRPr="00781112" w:rsidRDefault="003356F1" w:rsidP="006A01BD">
      <w:pPr>
        <w:spacing w:before="0" w:after="210"/>
        <w:ind w:left="72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Indicate the range of days beyond the timeline when the evaluation was completed and any reasons for the delays.</w:t>
      </w:r>
    </w:p>
    <w:p w14:paraId="1A76194B" w14:textId="382D2A54"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5F28023C" w14:textId="77777777" w:rsidR="003356F1" w:rsidRPr="00781112" w:rsidRDefault="003356F1" w:rsidP="004369B2">
      <w:pPr>
        <w:rPr>
          <w:color w:val="000000" w:themeColor="text1"/>
        </w:rPr>
      </w:pPr>
      <w:r w:rsidRPr="00781112">
        <w:rPr>
          <w:b/>
          <w:color w:val="000000" w:themeColor="text1"/>
        </w:rPr>
        <w:t>Instructions</w:t>
      </w:r>
    </w:p>
    <w:p w14:paraId="3DD8C135"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3F78D968"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1A394BBE"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231B6D26"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6E371C53" w14:textId="77777777" w:rsidR="003356F1" w:rsidRPr="00781112" w:rsidRDefault="003356F1"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53468DF8" w14:textId="569695B1" w:rsidR="003356F1"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4CA3F78B" w14:textId="72C271DF" w:rsidR="00DB20BC" w:rsidRPr="00781112" w:rsidRDefault="00C22B92" w:rsidP="00123D76">
      <w:pPr>
        <w:pStyle w:val="Heading2"/>
      </w:pPr>
      <w:bookmarkStart w:id="63" w:name="_Toc384383354"/>
      <w:bookmarkStart w:id="64" w:name="_Toc392159322"/>
      <w:bookmarkEnd w:id="61"/>
      <w:bookmarkEnd w:id="62"/>
      <w:r w:rsidRPr="00781112">
        <w:t>11</w:t>
      </w:r>
      <w:r w:rsidR="00596F4D" w:rsidRPr="00781112">
        <w:t xml:space="preserve"> </w:t>
      </w:r>
      <w:r w:rsidRPr="00781112">
        <w:t xml:space="preserve">- </w:t>
      </w:r>
      <w:r w:rsidR="00DB20BC" w:rsidRPr="00781112">
        <w:t>Indicator Data</w:t>
      </w:r>
    </w:p>
    <w:p w14:paraId="7C465821" w14:textId="6E27EB0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1E9ECD4B" w14:textId="77777777" w:rsidTr="00123D76">
        <w:trPr>
          <w:trHeight w:val="311"/>
          <w:tblHeader/>
        </w:trPr>
        <w:tc>
          <w:tcPr>
            <w:tcW w:w="1797" w:type="dxa"/>
          </w:tcPr>
          <w:p w14:paraId="7AF55935"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316C30F4"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1CE17451" w14:textId="77777777" w:rsidTr="00123D76">
        <w:trPr>
          <w:trHeight w:val="311"/>
        </w:trPr>
        <w:tc>
          <w:tcPr>
            <w:tcW w:w="1797" w:type="dxa"/>
            <w:vAlign w:val="center"/>
          </w:tcPr>
          <w:p w14:paraId="4D36891E" w14:textId="227D3313" w:rsidR="00126B45" w:rsidRPr="00781112" w:rsidRDefault="00126B45" w:rsidP="00123D76">
            <w:pPr>
              <w:jc w:val="center"/>
              <w:rPr>
                <w:bCs/>
                <w:color w:val="000000" w:themeColor="text1"/>
              </w:rPr>
            </w:pPr>
            <w:r w:rsidRPr="00781112">
              <w:rPr>
                <w:bCs/>
                <w:color w:val="000000" w:themeColor="text1"/>
              </w:rPr>
              <w:t>2005</w:t>
            </w:r>
          </w:p>
        </w:tc>
        <w:tc>
          <w:tcPr>
            <w:tcW w:w="1798" w:type="dxa"/>
            <w:vAlign w:val="center"/>
          </w:tcPr>
          <w:p w14:paraId="403719B1" w14:textId="522EF75C" w:rsidR="00126B45" w:rsidRPr="00781112" w:rsidRDefault="00126B45" w:rsidP="00123D76">
            <w:pPr>
              <w:jc w:val="center"/>
              <w:rPr>
                <w:bCs/>
                <w:color w:val="000000" w:themeColor="text1"/>
              </w:rPr>
            </w:pPr>
            <w:r w:rsidRPr="00781112">
              <w:rPr>
                <w:bCs/>
                <w:color w:val="000000" w:themeColor="text1"/>
              </w:rPr>
              <w:t>90.89%</w:t>
            </w:r>
          </w:p>
        </w:tc>
      </w:tr>
    </w:tbl>
    <w:p w14:paraId="0C706E5F"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185735BC" w14:textId="77777777" w:rsidTr="005F2FF9">
        <w:trPr>
          <w:trHeight w:val="350"/>
        </w:trPr>
        <w:tc>
          <w:tcPr>
            <w:tcW w:w="833" w:type="pct"/>
            <w:tcBorders>
              <w:bottom w:val="single" w:sz="4" w:space="0" w:color="auto"/>
            </w:tcBorders>
            <w:shd w:val="clear" w:color="auto" w:fill="auto"/>
          </w:tcPr>
          <w:p w14:paraId="40BFC57F"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80872C1" w14:textId="09E6591B" w:rsidR="00B6413B" w:rsidRPr="00781112" w:rsidRDefault="002B7490" w:rsidP="00B6413B">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172712E2" w14:textId="17CB7B21" w:rsidR="00B6413B"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510C277D" w14:textId="7361F007" w:rsidR="00B6413B"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A53D9E0" w14:textId="2FECDD8F"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14:paraId="5DDA3CB1" w14:textId="7CA07026" w:rsidR="00B6413B" w:rsidRPr="00781112" w:rsidRDefault="002B7490" w:rsidP="00B6413B">
            <w:pPr>
              <w:jc w:val="center"/>
              <w:rPr>
                <w:rFonts w:cs="Arial"/>
                <w:b/>
                <w:color w:val="000000" w:themeColor="text1"/>
                <w:szCs w:val="16"/>
              </w:rPr>
            </w:pPr>
            <w:r w:rsidRPr="00781112">
              <w:rPr>
                <w:rFonts w:cs="Arial"/>
                <w:b/>
                <w:color w:val="000000" w:themeColor="text1"/>
                <w:szCs w:val="16"/>
              </w:rPr>
              <w:t>2020</w:t>
            </w:r>
          </w:p>
        </w:tc>
      </w:tr>
      <w:tr w:rsidR="005C29F8" w:rsidRPr="00781112" w14:paraId="1D8C5E85" w14:textId="77777777" w:rsidTr="005F2FF9">
        <w:trPr>
          <w:trHeight w:val="357"/>
        </w:trPr>
        <w:tc>
          <w:tcPr>
            <w:tcW w:w="833" w:type="pct"/>
            <w:shd w:val="clear" w:color="auto" w:fill="auto"/>
          </w:tcPr>
          <w:p w14:paraId="64B52232" w14:textId="6E60704D" w:rsidR="00B6413B" w:rsidRPr="00781112" w:rsidRDefault="00B6413B" w:rsidP="00B6413B">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13EDBB26" w14:textId="03929D2F"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2315242" w14:textId="2AA4BC03"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592D8352" w14:textId="0CCD91D0"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213B65B" w14:textId="455FA06B"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0947AB89" w14:textId="009A0A22"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034A91A9" w14:textId="77777777" w:rsidTr="005F2FF9">
        <w:trPr>
          <w:trHeight w:val="85"/>
        </w:trPr>
        <w:tc>
          <w:tcPr>
            <w:tcW w:w="833" w:type="pct"/>
            <w:shd w:val="clear" w:color="auto" w:fill="auto"/>
          </w:tcPr>
          <w:p w14:paraId="2D12CD30" w14:textId="77777777" w:rsidR="00B6413B" w:rsidRPr="00781112" w:rsidRDefault="00B6413B" w:rsidP="00B6413B">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45567F1B" w14:textId="15BD6387" w:rsidR="00B6413B" w:rsidRPr="00781112" w:rsidRDefault="002B7490" w:rsidP="00A018D4">
            <w:pPr>
              <w:jc w:val="center"/>
              <w:rPr>
                <w:rFonts w:cs="Arial"/>
                <w:color w:val="000000" w:themeColor="text1"/>
                <w:szCs w:val="16"/>
              </w:rPr>
            </w:pPr>
            <w:r w:rsidRPr="00781112">
              <w:rPr>
                <w:rFonts w:cs="Arial"/>
                <w:color w:val="000000" w:themeColor="text1"/>
                <w:szCs w:val="16"/>
              </w:rPr>
              <w:t>98.09%</w:t>
            </w:r>
          </w:p>
        </w:tc>
        <w:tc>
          <w:tcPr>
            <w:tcW w:w="833" w:type="pct"/>
            <w:shd w:val="clear" w:color="auto" w:fill="auto"/>
          </w:tcPr>
          <w:p w14:paraId="22571264" w14:textId="18DEE061" w:rsidR="00B6413B" w:rsidRPr="00781112" w:rsidRDefault="002B7490" w:rsidP="00A018D4">
            <w:pPr>
              <w:jc w:val="center"/>
              <w:rPr>
                <w:rFonts w:cs="Arial"/>
                <w:color w:val="000000" w:themeColor="text1"/>
                <w:szCs w:val="16"/>
              </w:rPr>
            </w:pPr>
            <w:r w:rsidRPr="00781112">
              <w:rPr>
                <w:rFonts w:cs="Arial"/>
                <w:color w:val="000000" w:themeColor="text1"/>
                <w:szCs w:val="16"/>
              </w:rPr>
              <w:t>97.65%</w:t>
            </w:r>
          </w:p>
        </w:tc>
        <w:tc>
          <w:tcPr>
            <w:tcW w:w="833" w:type="pct"/>
            <w:tcBorders>
              <w:bottom w:val="single" w:sz="4" w:space="0" w:color="auto"/>
            </w:tcBorders>
            <w:shd w:val="clear" w:color="auto" w:fill="auto"/>
            <w:vAlign w:val="center"/>
          </w:tcPr>
          <w:p w14:paraId="0169492B" w14:textId="35C25712" w:rsidR="00B6413B" w:rsidRPr="00781112" w:rsidRDefault="002B7490" w:rsidP="00A018D4">
            <w:pPr>
              <w:jc w:val="center"/>
              <w:rPr>
                <w:rFonts w:cs="Arial"/>
                <w:color w:val="000000" w:themeColor="text1"/>
                <w:szCs w:val="16"/>
              </w:rPr>
            </w:pPr>
            <w:r w:rsidRPr="00781112">
              <w:rPr>
                <w:rFonts w:cs="Arial"/>
                <w:color w:val="000000" w:themeColor="text1"/>
                <w:szCs w:val="16"/>
              </w:rPr>
              <w:t>98.77%</w:t>
            </w:r>
          </w:p>
        </w:tc>
        <w:tc>
          <w:tcPr>
            <w:tcW w:w="833" w:type="pct"/>
            <w:tcBorders>
              <w:bottom w:val="single" w:sz="4" w:space="0" w:color="auto"/>
            </w:tcBorders>
            <w:shd w:val="clear" w:color="auto" w:fill="auto"/>
            <w:vAlign w:val="center"/>
          </w:tcPr>
          <w:p w14:paraId="3F28AAFF" w14:textId="54CE0344" w:rsidR="00B6413B" w:rsidRPr="00781112" w:rsidRDefault="002B7490" w:rsidP="00A018D4">
            <w:pPr>
              <w:jc w:val="center"/>
              <w:rPr>
                <w:rFonts w:cs="Arial"/>
                <w:color w:val="000000" w:themeColor="text1"/>
                <w:szCs w:val="16"/>
              </w:rPr>
            </w:pPr>
            <w:r w:rsidRPr="00781112">
              <w:rPr>
                <w:rFonts w:cs="Arial"/>
                <w:color w:val="000000" w:themeColor="text1"/>
                <w:szCs w:val="16"/>
              </w:rPr>
              <w:t>95.66%</w:t>
            </w:r>
          </w:p>
        </w:tc>
        <w:tc>
          <w:tcPr>
            <w:tcW w:w="834" w:type="pct"/>
            <w:tcBorders>
              <w:bottom w:val="single" w:sz="4" w:space="0" w:color="auto"/>
            </w:tcBorders>
            <w:shd w:val="clear" w:color="auto" w:fill="auto"/>
            <w:vAlign w:val="center"/>
          </w:tcPr>
          <w:p w14:paraId="1634D135" w14:textId="4B1B8A56" w:rsidR="00B6413B" w:rsidRPr="00781112" w:rsidRDefault="002B7490" w:rsidP="00A018D4">
            <w:pPr>
              <w:jc w:val="center"/>
              <w:rPr>
                <w:rFonts w:cs="Arial"/>
                <w:color w:val="000000" w:themeColor="text1"/>
                <w:szCs w:val="16"/>
              </w:rPr>
            </w:pPr>
            <w:r w:rsidRPr="00781112">
              <w:rPr>
                <w:rFonts w:cs="Arial"/>
                <w:color w:val="000000" w:themeColor="text1"/>
                <w:szCs w:val="16"/>
              </w:rPr>
              <w:t>96.52%</w:t>
            </w:r>
          </w:p>
        </w:tc>
      </w:tr>
    </w:tbl>
    <w:p w14:paraId="4B68E2EB" w14:textId="77777777" w:rsidR="00DE2E22" w:rsidRPr="00781112" w:rsidRDefault="00DE2E22" w:rsidP="004369B2">
      <w:pPr>
        <w:rPr>
          <w:color w:val="000000" w:themeColor="text1"/>
        </w:rPr>
      </w:pPr>
    </w:p>
    <w:p w14:paraId="665BBDF2" w14:textId="3C595D9B" w:rsidR="007A3964" w:rsidRPr="00781112" w:rsidRDefault="007A3964" w:rsidP="004369B2">
      <w:pPr>
        <w:rPr>
          <w:color w:val="000000" w:themeColor="text1"/>
        </w:rPr>
      </w:pPr>
      <w:r w:rsidRPr="00781112">
        <w:rPr>
          <w:b/>
          <w:color w:val="000000" w:themeColor="text1"/>
        </w:rPr>
        <w:t>Targets</w:t>
      </w:r>
    </w:p>
    <w:tbl>
      <w:tblPr>
        <w:tblW w:w="4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79"/>
        <w:gridCol w:w="1585"/>
        <w:gridCol w:w="1698"/>
        <w:gridCol w:w="1699"/>
        <w:gridCol w:w="1699"/>
        <w:gridCol w:w="1697"/>
      </w:tblGrid>
      <w:tr w:rsidR="00B14519" w:rsidRPr="00781112" w14:paraId="76DFECC2" w14:textId="07DDD47D" w:rsidTr="00451D7E">
        <w:trPr>
          <w:trHeight w:val="460"/>
        </w:trPr>
        <w:tc>
          <w:tcPr>
            <w:tcW w:w="278" w:type="pct"/>
            <w:tcBorders>
              <w:bottom w:val="single" w:sz="4" w:space="0" w:color="auto"/>
            </w:tcBorders>
            <w:shd w:val="clear" w:color="auto" w:fill="auto"/>
          </w:tcPr>
          <w:p w14:paraId="6892E70C" w14:textId="77777777" w:rsidR="00B14519" w:rsidRPr="00781112" w:rsidRDefault="00B14519" w:rsidP="00487DD1">
            <w:pPr>
              <w:jc w:val="center"/>
              <w:rPr>
                <w:b/>
                <w:color w:val="000000" w:themeColor="text1"/>
              </w:rPr>
            </w:pPr>
            <w:r w:rsidRPr="00781112">
              <w:rPr>
                <w:b/>
                <w:color w:val="000000" w:themeColor="text1"/>
              </w:rPr>
              <w:t>FFY</w:t>
            </w:r>
          </w:p>
        </w:tc>
        <w:tc>
          <w:tcPr>
            <w:tcW w:w="895" w:type="pct"/>
            <w:shd w:val="clear" w:color="auto" w:fill="auto"/>
          </w:tcPr>
          <w:p w14:paraId="66B6940B" w14:textId="77777777" w:rsidR="00B14519" w:rsidRPr="00781112" w:rsidRDefault="00B14519" w:rsidP="00487DD1">
            <w:pPr>
              <w:jc w:val="center"/>
              <w:rPr>
                <w:b/>
                <w:color w:val="000000" w:themeColor="text1"/>
              </w:rPr>
            </w:pPr>
            <w:r w:rsidRPr="00781112">
              <w:rPr>
                <w:b/>
                <w:color w:val="000000" w:themeColor="text1"/>
              </w:rPr>
              <w:t>2021</w:t>
            </w:r>
          </w:p>
        </w:tc>
        <w:tc>
          <w:tcPr>
            <w:tcW w:w="957" w:type="pct"/>
          </w:tcPr>
          <w:p w14:paraId="642D6D44" w14:textId="2A5BD9E4" w:rsidR="00B14519" w:rsidRPr="00781112" w:rsidRDefault="00B14519" w:rsidP="00487DD1">
            <w:pPr>
              <w:jc w:val="center"/>
              <w:rPr>
                <w:b/>
                <w:color w:val="000000" w:themeColor="text1"/>
              </w:rPr>
            </w:pPr>
            <w:r w:rsidRPr="00781112">
              <w:rPr>
                <w:rFonts w:cs="Arial"/>
                <w:b/>
                <w:color w:val="000000" w:themeColor="text1"/>
                <w:szCs w:val="16"/>
              </w:rPr>
              <w:t>2022</w:t>
            </w:r>
          </w:p>
        </w:tc>
        <w:tc>
          <w:tcPr>
            <w:tcW w:w="957" w:type="pct"/>
          </w:tcPr>
          <w:p w14:paraId="3DC5C0D5" w14:textId="20C2B807" w:rsidR="00B14519" w:rsidRPr="00781112" w:rsidRDefault="00B14519" w:rsidP="00487DD1">
            <w:pPr>
              <w:jc w:val="center"/>
              <w:rPr>
                <w:b/>
                <w:color w:val="000000" w:themeColor="text1"/>
              </w:rPr>
            </w:pPr>
            <w:r w:rsidRPr="00781112">
              <w:rPr>
                <w:rFonts w:cs="Arial"/>
                <w:b/>
                <w:color w:val="000000" w:themeColor="text1"/>
                <w:szCs w:val="16"/>
              </w:rPr>
              <w:t>2023</w:t>
            </w:r>
          </w:p>
        </w:tc>
        <w:tc>
          <w:tcPr>
            <w:tcW w:w="957" w:type="pct"/>
          </w:tcPr>
          <w:p w14:paraId="66836E96" w14:textId="691AA0DC" w:rsidR="00B14519" w:rsidRPr="00781112" w:rsidRDefault="00B14519" w:rsidP="00487DD1">
            <w:pPr>
              <w:jc w:val="center"/>
              <w:rPr>
                <w:b/>
                <w:color w:val="000000" w:themeColor="text1"/>
              </w:rPr>
            </w:pPr>
            <w:r w:rsidRPr="00781112">
              <w:rPr>
                <w:rFonts w:cs="Arial"/>
                <w:b/>
                <w:color w:val="000000" w:themeColor="text1"/>
                <w:szCs w:val="16"/>
              </w:rPr>
              <w:t>2024</w:t>
            </w:r>
          </w:p>
        </w:tc>
        <w:tc>
          <w:tcPr>
            <w:tcW w:w="957" w:type="pct"/>
          </w:tcPr>
          <w:p w14:paraId="5B366E12" w14:textId="3D99FA3A" w:rsidR="00B14519" w:rsidRPr="00781112" w:rsidRDefault="00B14519" w:rsidP="00487DD1">
            <w:pPr>
              <w:jc w:val="center"/>
              <w:rPr>
                <w:b/>
                <w:color w:val="000000" w:themeColor="text1"/>
              </w:rPr>
            </w:pPr>
            <w:r w:rsidRPr="00781112">
              <w:rPr>
                <w:rFonts w:cs="Arial"/>
                <w:b/>
                <w:color w:val="000000" w:themeColor="text1"/>
                <w:szCs w:val="16"/>
              </w:rPr>
              <w:t>2025</w:t>
            </w:r>
          </w:p>
        </w:tc>
      </w:tr>
      <w:tr w:rsidR="00B14519" w:rsidRPr="00781112" w14:paraId="3EC10007" w14:textId="1FF3F876" w:rsidTr="00451D7E">
        <w:trPr>
          <w:trHeight w:val="469"/>
        </w:trPr>
        <w:tc>
          <w:tcPr>
            <w:tcW w:w="278" w:type="pct"/>
            <w:shd w:val="clear" w:color="auto" w:fill="auto"/>
            <w:vAlign w:val="center"/>
          </w:tcPr>
          <w:p w14:paraId="078AD14E" w14:textId="77777777" w:rsidR="00B14519" w:rsidRPr="00781112" w:rsidRDefault="00B14519" w:rsidP="00487DD1">
            <w:pPr>
              <w:rPr>
                <w:rFonts w:cs="Arial"/>
                <w:color w:val="000000" w:themeColor="text1"/>
                <w:szCs w:val="16"/>
              </w:rPr>
            </w:pPr>
            <w:r w:rsidRPr="00781112">
              <w:rPr>
                <w:rFonts w:cs="Arial"/>
                <w:color w:val="000000" w:themeColor="text1"/>
                <w:szCs w:val="16"/>
              </w:rPr>
              <w:t xml:space="preserve">Target </w:t>
            </w:r>
          </w:p>
        </w:tc>
        <w:tc>
          <w:tcPr>
            <w:tcW w:w="895" w:type="pct"/>
            <w:shd w:val="clear" w:color="auto" w:fill="auto"/>
            <w:vAlign w:val="center"/>
          </w:tcPr>
          <w:p w14:paraId="738C5681" w14:textId="308364FD" w:rsidR="00B14519" w:rsidRPr="00781112" w:rsidRDefault="00B14519" w:rsidP="00487DD1">
            <w:pPr>
              <w:jc w:val="center"/>
              <w:rPr>
                <w:rFonts w:cs="Arial"/>
                <w:color w:val="000000" w:themeColor="text1"/>
                <w:szCs w:val="16"/>
              </w:rPr>
            </w:pPr>
            <w:r w:rsidRPr="00781112">
              <w:rPr>
                <w:rFonts w:cs="Arial"/>
                <w:color w:val="000000" w:themeColor="text1"/>
                <w:szCs w:val="16"/>
              </w:rPr>
              <w:t>100%</w:t>
            </w:r>
          </w:p>
        </w:tc>
        <w:tc>
          <w:tcPr>
            <w:tcW w:w="957" w:type="pct"/>
          </w:tcPr>
          <w:p w14:paraId="6D8F87FA" w14:textId="469699AF" w:rsidR="00B14519" w:rsidRPr="00781112" w:rsidRDefault="00B14519" w:rsidP="00487DD1">
            <w:pPr>
              <w:jc w:val="center"/>
              <w:rPr>
                <w:rFonts w:cs="Arial"/>
                <w:color w:val="000000" w:themeColor="text1"/>
                <w:szCs w:val="16"/>
              </w:rPr>
            </w:pPr>
            <w:r w:rsidRPr="00781112">
              <w:rPr>
                <w:color w:val="000000" w:themeColor="text1"/>
                <w:szCs w:val="16"/>
              </w:rPr>
              <w:t>100%</w:t>
            </w:r>
          </w:p>
        </w:tc>
        <w:tc>
          <w:tcPr>
            <w:tcW w:w="957" w:type="pct"/>
          </w:tcPr>
          <w:p w14:paraId="36607C1B" w14:textId="54CF66D1" w:rsidR="00B14519" w:rsidRPr="00781112" w:rsidRDefault="00B14519" w:rsidP="00487DD1">
            <w:pPr>
              <w:jc w:val="center"/>
              <w:rPr>
                <w:rFonts w:cs="Arial"/>
                <w:color w:val="000000" w:themeColor="text1"/>
                <w:szCs w:val="16"/>
              </w:rPr>
            </w:pPr>
            <w:r w:rsidRPr="00781112">
              <w:rPr>
                <w:color w:val="000000" w:themeColor="text1"/>
                <w:szCs w:val="16"/>
              </w:rPr>
              <w:t>100%</w:t>
            </w:r>
          </w:p>
        </w:tc>
        <w:tc>
          <w:tcPr>
            <w:tcW w:w="957" w:type="pct"/>
          </w:tcPr>
          <w:p w14:paraId="2E85DC12" w14:textId="59499407" w:rsidR="00B14519" w:rsidRPr="00781112" w:rsidRDefault="00B14519" w:rsidP="00487DD1">
            <w:pPr>
              <w:jc w:val="center"/>
              <w:rPr>
                <w:rFonts w:cs="Arial"/>
                <w:color w:val="000000" w:themeColor="text1"/>
                <w:szCs w:val="16"/>
              </w:rPr>
            </w:pPr>
            <w:r w:rsidRPr="00781112">
              <w:rPr>
                <w:color w:val="000000" w:themeColor="text1"/>
                <w:szCs w:val="16"/>
              </w:rPr>
              <w:t>100%</w:t>
            </w:r>
          </w:p>
        </w:tc>
        <w:tc>
          <w:tcPr>
            <w:tcW w:w="957" w:type="pct"/>
          </w:tcPr>
          <w:p w14:paraId="60586439" w14:textId="48E3304A" w:rsidR="00B14519" w:rsidRPr="00781112" w:rsidRDefault="00B14519" w:rsidP="00487DD1">
            <w:pPr>
              <w:jc w:val="center"/>
              <w:rPr>
                <w:rFonts w:cs="Arial"/>
                <w:color w:val="000000" w:themeColor="text1"/>
                <w:szCs w:val="16"/>
              </w:rPr>
            </w:pPr>
            <w:r w:rsidRPr="00781112">
              <w:rPr>
                <w:color w:val="000000" w:themeColor="text1"/>
                <w:szCs w:val="16"/>
              </w:rPr>
              <w:t>100%</w:t>
            </w:r>
          </w:p>
        </w:tc>
      </w:tr>
    </w:tbl>
    <w:p w14:paraId="5CBD7BB2" w14:textId="77777777" w:rsidR="00DE2E22" w:rsidRPr="00781112" w:rsidRDefault="00DE2E22" w:rsidP="004369B2">
      <w:pPr>
        <w:rPr>
          <w:color w:val="000000" w:themeColor="text1"/>
        </w:rPr>
      </w:pPr>
    </w:p>
    <w:bookmarkEnd w:id="63"/>
    <w:bookmarkEnd w:id="64"/>
    <w:p w14:paraId="3FAEB3AB" w14:textId="69F9809D" w:rsidR="00D03701" w:rsidRPr="00781112" w:rsidRDefault="0047313F" w:rsidP="004369B2">
      <w:pPr>
        <w:rPr>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2"/>
        <w:gridCol w:w="1363"/>
        <w:gridCol w:w="1407"/>
        <w:gridCol w:w="2123"/>
        <w:gridCol w:w="1265"/>
        <w:gridCol w:w="1612"/>
        <w:gridCol w:w="1558"/>
      </w:tblGrid>
      <w:tr w:rsidR="00B1652C" w:rsidRPr="00781112" w14:paraId="4D51CA61" w14:textId="77777777" w:rsidTr="008227D4">
        <w:trPr>
          <w:trHeight w:val="357"/>
          <w:tblHeader/>
        </w:trPr>
        <w:tc>
          <w:tcPr>
            <w:tcW w:w="677" w:type="pct"/>
            <w:shd w:val="clear" w:color="auto" w:fill="auto"/>
            <w:vAlign w:val="bottom"/>
          </w:tcPr>
          <w:p w14:paraId="2C2F907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(a) Number of children for whom parental consent to evaluate was received</w:t>
            </w:r>
          </w:p>
        </w:tc>
        <w:tc>
          <w:tcPr>
            <w:tcW w:w="631" w:type="pct"/>
            <w:shd w:val="clear" w:color="auto" w:fill="auto"/>
            <w:vAlign w:val="bottom"/>
          </w:tcPr>
          <w:p w14:paraId="37C63445"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shd w:val="clear" w:color="auto" w:fill="auto"/>
            <w:vAlign w:val="bottom"/>
          </w:tcPr>
          <w:p w14:paraId="0F3587FA" w14:textId="23C7F4A8" w:rsidR="00B1652C" w:rsidRPr="00CC1061" w:rsidRDefault="00B1652C" w:rsidP="00B1652C">
            <w:pPr>
              <w:jc w:val="center"/>
              <w:rPr>
                <w:rFonts w:cs="Arial"/>
                <w:b/>
                <w:bCs/>
                <w:color w:val="000000" w:themeColor="text1"/>
                <w:szCs w:val="16"/>
              </w:rPr>
            </w:pPr>
            <w:r w:rsidRPr="00CC1061">
              <w:rPr>
                <w:b/>
                <w:bCs/>
              </w:rPr>
              <w:t>FFY 2020 Data</w:t>
            </w:r>
          </w:p>
        </w:tc>
        <w:tc>
          <w:tcPr>
            <w:tcW w:w="984" w:type="pct"/>
            <w:shd w:val="clear" w:color="auto" w:fill="auto"/>
            <w:vAlign w:val="bottom"/>
          </w:tcPr>
          <w:p w14:paraId="46349806" w14:textId="4901A0E8" w:rsidR="00B1652C" w:rsidRPr="00CC1061" w:rsidRDefault="00B1652C" w:rsidP="00B1652C">
            <w:pPr>
              <w:jc w:val="center"/>
              <w:rPr>
                <w:rFonts w:cs="Arial"/>
                <w:b/>
                <w:bCs/>
                <w:color w:val="000000" w:themeColor="text1"/>
                <w:szCs w:val="16"/>
              </w:rPr>
            </w:pPr>
            <w:r w:rsidRPr="00CC1061">
              <w:rPr>
                <w:b/>
                <w:bCs/>
              </w:rPr>
              <w:t>FFY 2021 Target</w:t>
            </w:r>
          </w:p>
        </w:tc>
        <w:tc>
          <w:tcPr>
            <w:tcW w:w="586" w:type="pct"/>
            <w:shd w:val="clear" w:color="auto" w:fill="auto"/>
            <w:vAlign w:val="bottom"/>
          </w:tcPr>
          <w:p w14:paraId="789B0350" w14:textId="5E86AFE2" w:rsidR="00B1652C" w:rsidRPr="00CC1061" w:rsidRDefault="00B1652C" w:rsidP="00B1652C">
            <w:pPr>
              <w:jc w:val="center"/>
              <w:rPr>
                <w:rFonts w:cs="Arial"/>
                <w:b/>
                <w:bCs/>
                <w:color w:val="000000" w:themeColor="text1"/>
                <w:szCs w:val="16"/>
              </w:rPr>
            </w:pPr>
            <w:r w:rsidRPr="00CC1061">
              <w:rPr>
                <w:b/>
                <w:bCs/>
              </w:rPr>
              <w:t>FFY 2021 Data</w:t>
            </w:r>
          </w:p>
        </w:tc>
        <w:tc>
          <w:tcPr>
            <w:tcW w:w="747" w:type="pct"/>
            <w:shd w:val="clear" w:color="auto" w:fill="auto"/>
            <w:vAlign w:val="bottom"/>
          </w:tcPr>
          <w:p w14:paraId="1F8A5D0B" w14:textId="1CA25A33"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22" w:type="pct"/>
            <w:shd w:val="clear" w:color="auto" w:fill="auto"/>
            <w:vAlign w:val="bottom"/>
          </w:tcPr>
          <w:p w14:paraId="072F67FA" w14:textId="0AF25FE9"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601FAE62" w14:textId="77777777" w:rsidTr="008227D4">
        <w:tblPrEx>
          <w:jc w:val="center"/>
        </w:tblPrEx>
        <w:trPr>
          <w:trHeight w:val="361"/>
          <w:jc w:val="center"/>
        </w:trPr>
        <w:tc>
          <w:tcPr>
            <w:tcW w:w="677" w:type="pct"/>
            <w:shd w:val="clear" w:color="auto" w:fill="auto"/>
            <w:vAlign w:val="center"/>
          </w:tcPr>
          <w:p w14:paraId="40E44618" w14:textId="45B3AEC4" w:rsidR="00227DE4" w:rsidRPr="00781112" w:rsidRDefault="002B7490" w:rsidP="004369B2">
            <w:pPr>
              <w:jc w:val="center"/>
              <w:rPr>
                <w:rFonts w:cs="Arial"/>
                <w:color w:val="000000" w:themeColor="text1"/>
                <w:szCs w:val="16"/>
              </w:rPr>
            </w:pPr>
            <w:r w:rsidRPr="00781112">
              <w:rPr>
                <w:rFonts w:cs="Arial"/>
                <w:color w:val="000000" w:themeColor="text1"/>
                <w:szCs w:val="16"/>
              </w:rPr>
              <w:t>20,565</w:t>
            </w:r>
          </w:p>
        </w:tc>
        <w:tc>
          <w:tcPr>
            <w:tcW w:w="631" w:type="pct"/>
            <w:shd w:val="clear" w:color="auto" w:fill="auto"/>
          </w:tcPr>
          <w:p w14:paraId="12D46373" w14:textId="70B5728E" w:rsidR="00227DE4" w:rsidRPr="00781112" w:rsidRDefault="002B7490" w:rsidP="004369B2">
            <w:pPr>
              <w:jc w:val="center"/>
              <w:rPr>
                <w:rFonts w:cs="Arial"/>
                <w:color w:val="000000" w:themeColor="text1"/>
                <w:szCs w:val="16"/>
              </w:rPr>
            </w:pPr>
            <w:r w:rsidRPr="00781112">
              <w:rPr>
                <w:rFonts w:cs="Arial"/>
                <w:color w:val="000000" w:themeColor="text1"/>
                <w:szCs w:val="16"/>
              </w:rPr>
              <w:t>20,292</w:t>
            </w:r>
          </w:p>
        </w:tc>
        <w:tc>
          <w:tcPr>
            <w:tcW w:w="652" w:type="pct"/>
            <w:shd w:val="clear" w:color="auto" w:fill="auto"/>
          </w:tcPr>
          <w:p w14:paraId="78F7DC6F" w14:textId="0C25E273" w:rsidR="00227DE4" w:rsidRPr="00781112" w:rsidRDefault="002B7490" w:rsidP="004369B2">
            <w:pPr>
              <w:jc w:val="center"/>
              <w:rPr>
                <w:rFonts w:cs="Arial"/>
                <w:color w:val="000000" w:themeColor="text1"/>
                <w:szCs w:val="16"/>
              </w:rPr>
            </w:pPr>
            <w:r w:rsidRPr="00781112">
              <w:rPr>
                <w:rFonts w:cs="Arial"/>
                <w:color w:val="000000" w:themeColor="text1"/>
                <w:szCs w:val="16"/>
              </w:rPr>
              <w:t>96.52%</w:t>
            </w:r>
          </w:p>
        </w:tc>
        <w:tc>
          <w:tcPr>
            <w:tcW w:w="984" w:type="pct"/>
            <w:shd w:val="clear" w:color="auto" w:fill="auto"/>
          </w:tcPr>
          <w:p w14:paraId="57D08E3A" w14:textId="02A6843C"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shd w:val="clear" w:color="auto" w:fill="auto"/>
          </w:tcPr>
          <w:p w14:paraId="76ED234E" w14:textId="0761C4C5" w:rsidR="00227DE4" w:rsidRPr="00781112" w:rsidRDefault="002B7490" w:rsidP="004369B2">
            <w:pPr>
              <w:jc w:val="center"/>
              <w:rPr>
                <w:rFonts w:cs="Arial"/>
                <w:color w:val="000000" w:themeColor="text1"/>
                <w:szCs w:val="16"/>
              </w:rPr>
            </w:pPr>
            <w:r w:rsidRPr="00781112">
              <w:rPr>
                <w:rFonts w:cs="Arial"/>
                <w:color w:val="000000" w:themeColor="text1"/>
                <w:szCs w:val="16"/>
              </w:rPr>
              <w:t>98.67%</w:t>
            </w:r>
          </w:p>
        </w:tc>
        <w:tc>
          <w:tcPr>
            <w:tcW w:w="747" w:type="pct"/>
            <w:shd w:val="clear" w:color="auto" w:fill="auto"/>
          </w:tcPr>
          <w:p w14:paraId="0270582F" w14:textId="73E1CA33"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shd w:val="clear" w:color="auto" w:fill="auto"/>
          </w:tcPr>
          <w:p w14:paraId="2AF3A578" w14:textId="64369F07" w:rsidR="00227DE4"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0FCD0E7" w14:textId="5068539E"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500E5C8C" w14:textId="708E8E06" w:rsidR="00596F83" w:rsidRPr="00781112" w:rsidRDefault="00596F83" w:rsidP="007D435F">
      <w:pPr>
        <w:rPr>
          <w:rFonts w:cs="Arial"/>
          <w:color w:val="000000" w:themeColor="text1"/>
          <w:szCs w:val="16"/>
        </w:rPr>
      </w:pPr>
      <w:r w:rsidRPr="00781112">
        <w:rPr>
          <w:rFonts w:cs="Arial"/>
          <w:color w:val="000000" w:themeColor="text1"/>
          <w:szCs w:val="16"/>
        </w:rPr>
        <w:t>273</w:t>
      </w:r>
    </w:p>
    <w:p w14:paraId="59300647" w14:textId="301BC4BA" w:rsidR="00E418E6" w:rsidRPr="00781112" w:rsidRDefault="00481536" w:rsidP="006A01BD">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14:paraId="7FF7A4DA" w14:textId="602A3FE9" w:rsidR="00481536" w:rsidRPr="00781112" w:rsidRDefault="002B7490" w:rsidP="006A01BD">
      <w:pPr>
        <w:rPr>
          <w:color w:val="000000" w:themeColor="text1"/>
        </w:rPr>
      </w:pPr>
      <w:r w:rsidRPr="00781112">
        <w:rPr>
          <w:color w:val="000000" w:themeColor="text1"/>
        </w:rPr>
        <w:t>Maximum range of days past 45 days to complete an evaluation: 153</w:t>
      </w:r>
      <w:r w:rsidRPr="00781112">
        <w:rPr>
          <w:color w:val="000000" w:themeColor="text1"/>
        </w:rPr>
        <w:br/>
      </w:r>
      <w:r w:rsidRPr="00781112">
        <w:rPr>
          <w:color w:val="000000" w:themeColor="text1"/>
        </w:rPr>
        <w:br/>
        <w:t>Reasons for delay reported to the state (a single delay may have multiple reasons):</w:t>
      </w:r>
      <w:r w:rsidRPr="00781112">
        <w:rPr>
          <w:color w:val="000000" w:themeColor="text1"/>
        </w:rPr>
        <w:br/>
        <w:t>LEA failure to follow appropriate procedures: 166</w:t>
      </w:r>
      <w:r w:rsidRPr="00781112">
        <w:rPr>
          <w:color w:val="000000" w:themeColor="text1"/>
        </w:rPr>
        <w:br/>
        <w:t>MEEGS team needed additional data: 22</w:t>
      </w:r>
      <w:r w:rsidRPr="00781112">
        <w:rPr>
          <w:color w:val="000000" w:themeColor="text1"/>
        </w:rPr>
        <w:br/>
        <w:t>Lack of appropriate resources: 44</w:t>
      </w:r>
      <w:r w:rsidRPr="00781112">
        <w:rPr>
          <w:color w:val="000000" w:themeColor="text1"/>
        </w:rPr>
        <w:br/>
        <w:t>Breaks in school calendar and/or staff not on contract: 12</w:t>
      </w:r>
      <w:r w:rsidRPr="00781112">
        <w:rPr>
          <w:color w:val="000000" w:themeColor="text1"/>
        </w:rPr>
        <w:br/>
        <w:t>Late referral from SoonerStart: 2</w:t>
      </w:r>
      <w:r w:rsidRPr="00781112">
        <w:rPr>
          <w:color w:val="000000" w:themeColor="text1"/>
        </w:rPr>
        <w:br/>
        <w:t>Parents did not show for scheduled meeting or delayed meeting: 62</w:t>
      </w:r>
      <w:r w:rsidRPr="00781112">
        <w:rPr>
          <w:color w:val="000000" w:themeColor="text1"/>
        </w:rPr>
        <w:br/>
        <w:t>Extreme weather or other atypical events such as pandemics: 29</w:t>
      </w:r>
    </w:p>
    <w:p w14:paraId="4FE2B83B" w14:textId="50CDAD1F"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7D77618A" w14:textId="3A3B87A2" w:rsidR="00596F83" w:rsidRPr="00781112" w:rsidRDefault="00596F83" w:rsidP="004369B2">
      <w:pPr>
        <w:rPr>
          <w:rFonts w:cs="Arial"/>
          <w:color w:val="000000" w:themeColor="text1"/>
          <w:szCs w:val="16"/>
        </w:rPr>
      </w:pPr>
      <w:r w:rsidRPr="00781112">
        <w:rPr>
          <w:rFonts w:cs="Arial"/>
          <w:color w:val="000000" w:themeColor="text1"/>
          <w:szCs w:val="16"/>
        </w:rPr>
        <w:t>The State established a timeline within which the evaluation must be conducted</w:t>
      </w:r>
    </w:p>
    <w:p w14:paraId="7D54DFB3" w14:textId="4948BCA9" w:rsidR="00E418E6" w:rsidRPr="00781112" w:rsidRDefault="00481536" w:rsidP="001011BB">
      <w:pPr>
        <w:tabs>
          <w:tab w:val="left" w:pos="751"/>
        </w:tabs>
        <w:rPr>
          <w:rFonts w:cs="Arial"/>
          <w:b/>
          <w:color w:val="000000" w:themeColor="text1"/>
          <w:szCs w:val="16"/>
        </w:rPr>
      </w:pPr>
      <w:r w:rsidRPr="00781112">
        <w:rPr>
          <w:rFonts w:cs="Arial"/>
          <w:b/>
          <w:color w:val="000000" w:themeColor="text1"/>
          <w:szCs w:val="16"/>
        </w:rPr>
        <w:t>What is the State’s timeline for initial evaluations? If the State-established timeframe provides for exceptions through State regulation or policy, describe cases falling within those exceptions and include in (b).</w:t>
      </w:r>
    </w:p>
    <w:p w14:paraId="396060FF" w14:textId="37C040FE" w:rsidR="00481536" w:rsidRPr="00781112" w:rsidRDefault="002B7490" w:rsidP="001011BB">
      <w:pPr>
        <w:tabs>
          <w:tab w:val="left" w:pos="751"/>
        </w:tabs>
        <w:rPr>
          <w:rFonts w:cs="Arial"/>
          <w:color w:val="000000" w:themeColor="text1"/>
          <w:szCs w:val="16"/>
        </w:rPr>
      </w:pPr>
      <w:r w:rsidRPr="00781112">
        <w:rPr>
          <w:rFonts w:cs="Arial"/>
          <w:color w:val="000000" w:themeColor="text1"/>
          <w:szCs w:val="16"/>
        </w:rPr>
        <w:t xml:space="preserve">45 school days. Exceptions are not allowed. </w:t>
      </w:r>
    </w:p>
    <w:p w14:paraId="7B602C87"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6EC5182D" w14:textId="7DE4D103"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5C41E868"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41D2EA17" w14:textId="243E2564" w:rsidR="00326C0B" w:rsidRPr="00781112" w:rsidRDefault="002B7490" w:rsidP="00030B45">
      <w:pPr>
        <w:rPr>
          <w:rFonts w:cs="Arial"/>
          <w:color w:val="000000" w:themeColor="text1"/>
          <w:szCs w:val="16"/>
        </w:rPr>
      </w:pPr>
      <w:r w:rsidRPr="00781112">
        <w:rPr>
          <w:rFonts w:cs="Arial"/>
          <w:color w:val="000000" w:themeColor="text1"/>
          <w:szCs w:val="16"/>
        </w:rPr>
        <w:t xml:space="preserve">Each LEA is required to report aggregated counts of "Total Referrals," "Evaluations completed within 45 school days from parent consent," "Evaluations not completed within 45 school days from parent consent" broken down by reason, "The maximum amount of days after 45 school days to complete the tardy evaluation", and "Reasons why evaluations were not completed with the 45 day timeline" through the online IEP system. The LEA must validate the End-of-Year report and certify the data being submitted is accurate and true. The SEA then monitors LEAs through additional data reports, District Data Profiles and on-site comprehensive monitoring. Technical assistance is provided by the compliance and program specialists. After LEAS report their counts, the state reviews all records to determine whether all delayed evaluations were reported. Unreported delays are reviewed with the district and final numbers are adjusted to reflect additional findings. </w:t>
      </w:r>
    </w:p>
    <w:p w14:paraId="4F981BFF" w14:textId="77777777" w:rsidR="00C86164" w:rsidRPr="00781112" w:rsidRDefault="00C86164" w:rsidP="00C86164">
      <w:pPr>
        <w:rPr>
          <w:rFonts w:cs="Arial"/>
          <w:b/>
          <w:color w:val="000000" w:themeColor="text1"/>
          <w:szCs w:val="16"/>
        </w:rPr>
      </w:pPr>
      <w:bookmarkStart w:id="65" w:name="_Toc381956339"/>
      <w:bookmarkStart w:id="66" w:name="_Toc384383357"/>
      <w:bookmarkStart w:id="67" w:name="_Toc392159325"/>
      <w:r w:rsidRPr="00781112">
        <w:rPr>
          <w:rFonts w:cs="Arial"/>
          <w:b/>
          <w:color w:val="000000" w:themeColor="text1"/>
          <w:szCs w:val="16"/>
        </w:rPr>
        <w:t>Provide additional information about this indicator (optional)</w:t>
      </w:r>
    </w:p>
    <w:p w14:paraId="4D7330D9" w14:textId="5E39C58C" w:rsidR="00326C0B" w:rsidRPr="00781112" w:rsidRDefault="00326C0B" w:rsidP="007D435F">
      <w:pPr>
        <w:rPr>
          <w:rFonts w:cs="Arial"/>
          <w:color w:val="000000" w:themeColor="text1"/>
          <w:szCs w:val="16"/>
        </w:rPr>
      </w:pPr>
    </w:p>
    <w:p w14:paraId="53B75C36" w14:textId="77777777" w:rsidR="00DE2E22" w:rsidRPr="00781112" w:rsidRDefault="00DE2E22" w:rsidP="004369B2">
      <w:pPr>
        <w:rPr>
          <w:color w:val="000000" w:themeColor="text1"/>
        </w:rPr>
      </w:pPr>
    </w:p>
    <w:p w14:paraId="3221D503" w14:textId="70165581" w:rsidR="009A755E" w:rsidRPr="00781112" w:rsidRDefault="00450F98" w:rsidP="004369B2">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11PFFYNCFINDINGS"/>
      </w:tblPr>
      <w:tblGrid>
        <w:gridCol w:w="2650"/>
        <w:gridCol w:w="2780"/>
        <w:gridCol w:w="2656"/>
        <w:gridCol w:w="2704"/>
      </w:tblGrid>
      <w:tr w:rsidR="005C29F8" w:rsidRPr="00781112" w14:paraId="19F31341" w14:textId="77777777" w:rsidTr="008227D4">
        <w:trPr>
          <w:trHeight w:val="389"/>
          <w:tblHeader/>
        </w:trPr>
        <w:tc>
          <w:tcPr>
            <w:tcW w:w="1228" w:type="pct"/>
            <w:shd w:val="clear" w:color="auto" w:fill="auto"/>
            <w:vAlign w:val="bottom"/>
          </w:tcPr>
          <w:p w14:paraId="56F59E5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27C8700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4F7EC97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E04671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A7D6F00" w14:textId="77777777" w:rsidTr="008227D4">
        <w:tc>
          <w:tcPr>
            <w:tcW w:w="1228" w:type="pct"/>
            <w:shd w:val="clear" w:color="auto" w:fill="auto"/>
          </w:tcPr>
          <w:p w14:paraId="1D3665CE" w14:textId="31AA2004" w:rsidR="009A755E" w:rsidRPr="00781112" w:rsidRDefault="002B7490" w:rsidP="00A018D4">
            <w:pPr>
              <w:jc w:val="center"/>
              <w:rPr>
                <w:rFonts w:cs="Arial"/>
                <w:color w:val="000000" w:themeColor="text1"/>
                <w:szCs w:val="16"/>
              </w:rPr>
            </w:pPr>
            <w:r w:rsidRPr="00781112">
              <w:rPr>
                <w:rFonts w:cs="Arial"/>
                <w:color w:val="000000" w:themeColor="text1"/>
                <w:szCs w:val="16"/>
              </w:rPr>
              <w:t>153</w:t>
            </w:r>
          </w:p>
        </w:tc>
        <w:tc>
          <w:tcPr>
            <w:tcW w:w="1288" w:type="pct"/>
            <w:shd w:val="clear" w:color="auto" w:fill="auto"/>
          </w:tcPr>
          <w:p w14:paraId="4AEC445C" w14:textId="6396B491" w:rsidR="009A755E" w:rsidRPr="00781112" w:rsidRDefault="002B7490" w:rsidP="00A018D4">
            <w:pPr>
              <w:jc w:val="center"/>
              <w:rPr>
                <w:rFonts w:cs="Arial"/>
                <w:color w:val="000000" w:themeColor="text1"/>
                <w:szCs w:val="16"/>
              </w:rPr>
            </w:pPr>
            <w:r w:rsidRPr="00781112">
              <w:rPr>
                <w:rFonts w:cs="Arial"/>
                <w:color w:val="000000" w:themeColor="text1"/>
                <w:szCs w:val="16"/>
              </w:rPr>
              <w:t>109</w:t>
            </w:r>
          </w:p>
        </w:tc>
        <w:tc>
          <w:tcPr>
            <w:tcW w:w="1231" w:type="pct"/>
            <w:shd w:val="clear" w:color="auto" w:fill="auto"/>
          </w:tcPr>
          <w:p w14:paraId="650763EC" w14:textId="5B71F402" w:rsidR="009A755E" w:rsidRPr="00781112" w:rsidRDefault="002B7490" w:rsidP="00A018D4">
            <w:pPr>
              <w:jc w:val="center"/>
              <w:rPr>
                <w:rFonts w:cs="Arial"/>
                <w:color w:val="000000" w:themeColor="text1"/>
                <w:szCs w:val="16"/>
              </w:rPr>
            </w:pPr>
            <w:r w:rsidRPr="00781112">
              <w:rPr>
                <w:rFonts w:cs="Arial"/>
                <w:color w:val="000000" w:themeColor="text1"/>
                <w:szCs w:val="16"/>
              </w:rPr>
              <w:t>38</w:t>
            </w:r>
          </w:p>
        </w:tc>
        <w:tc>
          <w:tcPr>
            <w:tcW w:w="1254" w:type="pct"/>
            <w:shd w:val="clear" w:color="auto" w:fill="auto"/>
          </w:tcPr>
          <w:p w14:paraId="67914127" w14:textId="0865F5F8" w:rsidR="009A755E" w:rsidRPr="00781112" w:rsidRDefault="002B7490" w:rsidP="00A018D4">
            <w:pPr>
              <w:jc w:val="center"/>
              <w:rPr>
                <w:rFonts w:cs="Arial"/>
                <w:color w:val="000000" w:themeColor="text1"/>
                <w:szCs w:val="16"/>
              </w:rPr>
            </w:pPr>
            <w:r w:rsidRPr="00781112">
              <w:rPr>
                <w:rFonts w:cs="Arial"/>
                <w:color w:val="000000" w:themeColor="text1"/>
                <w:szCs w:val="16"/>
              </w:rPr>
              <w:t>6</w:t>
            </w:r>
          </w:p>
        </w:tc>
      </w:tr>
    </w:tbl>
    <w:p w14:paraId="49183A2D" w14:textId="23DB1EFD" w:rsidR="009A755E" w:rsidRPr="00781112" w:rsidRDefault="00450F98" w:rsidP="004369B2">
      <w:pPr>
        <w:rPr>
          <w:color w:val="000000" w:themeColor="text1"/>
        </w:rPr>
      </w:pPr>
      <w:r>
        <w:rPr>
          <w:b/>
          <w:color w:val="000000" w:themeColor="text1"/>
        </w:rPr>
        <w:t>FFY 2020 Findings of Noncompliance Verified as Corrected</w:t>
      </w:r>
    </w:p>
    <w:p w14:paraId="417CAEC2" w14:textId="31AFF48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1965D8E" w14:textId="42E8D356" w:rsidR="00326C0B" w:rsidRPr="00781112" w:rsidRDefault="002B7490" w:rsidP="009A755E">
      <w:pPr>
        <w:rPr>
          <w:rFonts w:cs="Arial"/>
          <w:color w:val="000000" w:themeColor="text1"/>
          <w:szCs w:val="16"/>
        </w:rPr>
      </w:pPr>
      <w:r w:rsidRPr="00781112">
        <w:rPr>
          <w:rFonts w:cs="Arial"/>
          <w:color w:val="000000" w:themeColor="text1"/>
          <w:szCs w:val="16"/>
        </w:rPr>
        <w:t xml:space="preserve">In July 2022 the OSDE-SES conducted Verification of Continuous Compliance (Prong II) procedures for FFY 2020 findings to ensure systemic compliance across each LEA for Indicator 11 data. Continuous compliance reviews are completed by a two part process: (a) reviewing FFY 2021 data for compliance and (b) using a random sampling process in which student records are randomly selected for a compliance check. If (a) all FFY 2021 records are compliant or (b) a subsequent sample of records are compliant, the LEA is resolved and removed from the compliance watch-list for the fiscal year. If resolved via (a), the LEA's findings of noncompliance are verified as corrected within one year. If resolved via (b), the LEA's findings of noncompliance are verified as subsequently corrected. If the LEA does not demonstrate 100 percent compliance via the sampling process, additional sanctions are applied and records continue to be monitored. </w:t>
      </w:r>
      <w:r w:rsidRPr="00781112">
        <w:rPr>
          <w:rFonts w:cs="Arial"/>
          <w:color w:val="000000" w:themeColor="text1"/>
          <w:szCs w:val="16"/>
        </w:rPr>
        <w:br/>
      </w:r>
      <w:r w:rsidRPr="00781112">
        <w:rPr>
          <w:rFonts w:cs="Arial"/>
          <w:color w:val="000000" w:themeColor="text1"/>
          <w:szCs w:val="16"/>
        </w:rPr>
        <w:br/>
        <w:t>To check for continuous compliance via (a) in FFY 2021, OSDE-SES used the data reported by the 153 LEAs identified for indicator 11 (SY 21-22 data). If an LEA that was noncompliant in FFY 2020 also reported noncompliance in FFY 2021, the LEA did not demonstrate that noncompliance had been corrected. If an LEA was fully compliant for indicator 11 in FFY 2021, OSDE-SES resolved that the LEA achieved 100 percent compliance within one year. 109 LEAs demonstrated full compliance in this process. 44 LEAs were noncompliant again in FFY 2021. The 44 LEAs that had additional findings of noncompliance have been required to examine their student records to determine the reason(s) for continued noncompliance. They identified SMART goals to improve problem areas and clarified internal monitoring processes and procedures and are currently receiving intensive technical assistance that included corrective action planning and root cause analysis.</w:t>
      </w:r>
      <w:r w:rsidRPr="00781112">
        <w:rPr>
          <w:rFonts w:cs="Arial"/>
          <w:color w:val="000000" w:themeColor="text1"/>
          <w:szCs w:val="16"/>
        </w:rPr>
        <w:br/>
      </w:r>
      <w:r w:rsidRPr="00781112">
        <w:rPr>
          <w:rFonts w:cs="Arial"/>
          <w:color w:val="000000" w:themeColor="text1"/>
          <w:szCs w:val="16"/>
        </w:rPr>
        <w:br/>
        <w:t>A second check for continuous compliance was conducted in winter 2022 (process (b)). An indicator-specific report was pulled from the online IEP system (in the same manner other data reviews are made) for each of the 44 LEAs identified with additional findings of non-compliance in FFY 2021. Each report included a representative, randomly-selected sample of records of students who were involved in an initial evaluation for eligibility under IDEA in the fall of 2022. These indicator-specific reports were reviewed by OSDE-SES specialists for systemic compliance in January 2023. 38 LEAs were verified as continuously compliant (100 percent compliant), and were removed from the compliance watch-list. Six LEAs have not yet achieved 100 percent compliance. These six continue to be under review, and are receiving intensive technical assistance that includes corrective action planning and root cause analysis. A third compliance review will be conducted in July 2023.</w:t>
      </w:r>
      <w:r w:rsidRPr="00781112">
        <w:rPr>
          <w:rFonts w:cs="Arial"/>
          <w:color w:val="000000" w:themeColor="text1"/>
          <w:szCs w:val="16"/>
        </w:rPr>
        <w:br/>
      </w:r>
      <w:r w:rsidRPr="00781112">
        <w:rPr>
          <w:rFonts w:cs="Arial"/>
          <w:color w:val="000000" w:themeColor="text1"/>
          <w:szCs w:val="16"/>
        </w:rPr>
        <w:br/>
        <w:t xml:space="preserve">Note: The random samples of student records selected for the prong II reviews are pulled from the LEA’s population of student records relevant to the indicator. Only records of students with consent for initial evaluations in the fall semester of 2022 were sampled for indicator 11. OSDE-SES checked all records in LEAs with a total of 11 or fewer records that met this criterion. Otherwise, sample sizes ranged from 11 to 34, depending on the size of the LEA. The sample sizes are statistically representative, within the following assumptions: </w:t>
      </w:r>
      <w:r w:rsidRPr="00781112">
        <w:rPr>
          <w:rFonts w:cs="Arial"/>
          <w:color w:val="000000" w:themeColor="text1"/>
          <w:szCs w:val="16"/>
        </w:rPr>
        <w:br/>
        <w:t xml:space="preserve">• Margin of error of 10 percent: this is the chance of missing (not finding) noncompliance in the sample when it exists. </w:t>
      </w:r>
      <w:r w:rsidRPr="00781112">
        <w:rPr>
          <w:rFonts w:cs="Arial"/>
          <w:color w:val="000000" w:themeColor="text1"/>
          <w:szCs w:val="16"/>
        </w:rPr>
        <w:br/>
        <w:t xml:space="preserve">• Confidence level of 95 percent: this is the level of confidence that results found are true and representative. </w:t>
      </w:r>
      <w:r w:rsidRPr="00781112">
        <w:rPr>
          <w:rFonts w:cs="Arial"/>
          <w:color w:val="000000" w:themeColor="text1"/>
          <w:szCs w:val="16"/>
        </w:rPr>
        <w:br/>
        <w:t>• Expected response distribution of minimum 90 percent compliance.</w:t>
      </w:r>
    </w:p>
    <w:p w14:paraId="51512AE8" w14:textId="4644521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D2403D9" w14:textId="1E0996F1" w:rsidR="00326C0B" w:rsidRPr="00781112" w:rsidRDefault="002B7490" w:rsidP="009A755E">
      <w:pPr>
        <w:rPr>
          <w:rFonts w:cs="Arial"/>
          <w:color w:val="000000" w:themeColor="text1"/>
          <w:szCs w:val="16"/>
        </w:rPr>
      </w:pPr>
      <w:r w:rsidRPr="00781112">
        <w:rPr>
          <w:rFonts w:cs="Arial"/>
          <w:color w:val="000000" w:themeColor="text1"/>
          <w:szCs w:val="16"/>
        </w:rPr>
        <w:t xml:space="preserve">The OSDE-SES annually conducts monitoring activities for 100% of the State’s LEAs to determine if all LEAs are in compliance for Indicator 11. Non-compliance is identified through data submitted by LEAs through the annual June end-of-year data collection as well as specific monitoring activities such as desk audits and onsite visits. </w:t>
      </w:r>
      <w:r w:rsidRPr="00781112">
        <w:rPr>
          <w:rFonts w:cs="Arial"/>
          <w:color w:val="000000" w:themeColor="text1"/>
          <w:szCs w:val="16"/>
        </w:rPr>
        <w:br/>
      </w:r>
      <w:r w:rsidRPr="00781112">
        <w:rPr>
          <w:rFonts w:cs="Arial"/>
          <w:color w:val="000000" w:themeColor="text1"/>
          <w:szCs w:val="16"/>
        </w:rPr>
        <w:br/>
        <w:t>After analyzing data collected for Indicator 11 in June 2021, non-compliance was identified in 153 LEAs. The 153 LEAs identified as non-compliant were issued a letter of findings and required to make child-specific corrections within 30 days of receipt of the letter. All LEAs were notified by November 15, 2021. Subsequently, LEAs were required to submit data showing evidence of completed documentation for identified students. The OSDE-SES reviewed Parent Consent forms and Multidisciplinary Evaluation and Eligibility Group Summary (MEEGS) forms submitted by all LEAs through the statewide online IEP system (OK EdPlan) in order to determine that evaluations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w:t>
      </w:r>
      <w:r w:rsidRPr="00781112">
        <w:rPr>
          <w:rFonts w:cs="Arial"/>
          <w:color w:val="000000" w:themeColor="text1"/>
          <w:szCs w:val="16"/>
        </w:rPr>
        <w:br/>
      </w:r>
      <w:r w:rsidRPr="00781112">
        <w:rPr>
          <w:rFonts w:cs="Arial"/>
          <w:color w:val="000000" w:themeColor="text1"/>
          <w:szCs w:val="16"/>
        </w:rPr>
        <w:br/>
        <w:t>All individual cases of noncompliance across all 153 LEAs were corrected and the records are now compliant.</w:t>
      </w:r>
    </w:p>
    <w:p w14:paraId="486EDA3F" w14:textId="52D706C4" w:rsidR="009A755E" w:rsidRPr="00781112" w:rsidRDefault="00450F98" w:rsidP="004369B2">
      <w:pPr>
        <w:rPr>
          <w:color w:val="000000" w:themeColor="text1"/>
        </w:rPr>
      </w:pPr>
      <w:r>
        <w:rPr>
          <w:b/>
          <w:color w:val="000000" w:themeColor="text1"/>
        </w:rPr>
        <w:t>FFY 2020 Findings of Noncompliance Not Yet Verified as Corrected</w:t>
      </w:r>
    </w:p>
    <w:p w14:paraId="5FB777DB"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2EE93446" w14:textId="2058242E" w:rsidR="00326C0B" w:rsidRPr="00781112" w:rsidRDefault="002B7490" w:rsidP="009A755E">
      <w:pPr>
        <w:rPr>
          <w:rFonts w:cs="Arial"/>
          <w:color w:val="000000" w:themeColor="text1"/>
          <w:szCs w:val="16"/>
        </w:rPr>
      </w:pPr>
      <w:r w:rsidRPr="00781112">
        <w:rPr>
          <w:rFonts w:cs="Arial"/>
          <w:color w:val="000000" w:themeColor="text1"/>
          <w:szCs w:val="16"/>
        </w:rPr>
        <w:t xml:space="preserve">If noncompliance is not corrected--meaning LEAs continue to not demonstrate systemic compliance--LEAs are monitored through the differentiated monitoring process for a second consecutive year and are marked as having "longstanding noncompliance" in indicator 11 on their annual determinations. LEAs identified with continuing noncompliance must revisit their improvement plans from the prior year and review and revise to ensure compliance can be achieved. A subsequent analysis of IEPs is conducted at the end of the school year as described in the prior section ("Describe how the State verified that the source of noncompliance is correctly implementing the regulatory requirements"). </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11,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directed will be determined in consultation with the state. </w:t>
      </w:r>
      <w:r w:rsidRPr="00781112">
        <w:rPr>
          <w:rFonts w:cs="Arial"/>
          <w:color w:val="000000" w:themeColor="text1"/>
          <w:szCs w:val="16"/>
        </w:rPr>
        <w:br/>
        <w:t xml:space="preserve">o Invite parents of affected students to the school board meeting to participate in the discussions for the plan for improvement. </w:t>
      </w:r>
    </w:p>
    <w:p w14:paraId="47B6C111" w14:textId="77777777" w:rsidR="008227D4" w:rsidRPr="00781112" w:rsidRDefault="008227D4" w:rsidP="004369B2">
      <w:pPr>
        <w:rPr>
          <w:color w:val="000000" w:themeColor="text1"/>
        </w:rPr>
      </w:pPr>
    </w:p>
    <w:p w14:paraId="3D219E0E" w14:textId="05757C22" w:rsidR="009A755E" w:rsidRPr="00781112" w:rsidRDefault="00450F98" w:rsidP="004369B2">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24C0CC8B" w14:textId="77777777" w:rsidTr="003968A6">
        <w:trPr>
          <w:tblHeader/>
        </w:trPr>
        <w:tc>
          <w:tcPr>
            <w:tcW w:w="988" w:type="pct"/>
            <w:shd w:val="clear" w:color="auto" w:fill="auto"/>
            <w:vAlign w:val="bottom"/>
          </w:tcPr>
          <w:p w14:paraId="4DB94990" w14:textId="41E221B0"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58480848" w14:textId="0727D6EF"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317" w:type="pct"/>
            <w:shd w:val="clear" w:color="auto" w:fill="auto"/>
            <w:vAlign w:val="bottom"/>
          </w:tcPr>
          <w:p w14:paraId="5E728C5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6B7FE6A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D9969AD" w14:textId="77777777" w:rsidTr="003968A6">
        <w:tc>
          <w:tcPr>
            <w:tcW w:w="988" w:type="pct"/>
            <w:shd w:val="clear" w:color="auto" w:fill="auto"/>
          </w:tcPr>
          <w:p w14:paraId="1373C0BF" w14:textId="5ED00762" w:rsidR="009A755E" w:rsidRPr="00781112" w:rsidRDefault="002B7490" w:rsidP="00A018D4">
            <w:pPr>
              <w:jc w:val="center"/>
              <w:rPr>
                <w:rFonts w:cs="Arial"/>
                <w:color w:val="000000" w:themeColor="text1"/>
                <w:szCs w:val="16"/>
              </w:rPr>
            </w:pPr>
            <w:r w:rsidRPr="00781112">
              <w:rPr>
                <w:rFonts w:cs="Arial"/>
                <w:color w:val="000000" w:themeColor="text1"/>
                <w:szCs w:val="16"/>
              </w:rPr>
              <w:t>FFY 2019</w:t>
            </w:r>
          </w:p>
        </w:tc>
        <w:tc>
          <w:tcPr>
            <w:tcW w:w="1461" w:type="pct"/>
            <w:shd w:val="clear" w:color="auto" w:fill="auto"/>
          </w:tcPr>
          <w:p w14:paraId="5AB62777" w14:textId="29B5602C" w:rsidR="009A755E" w:rsidRPr="00781112" w:rsidRDefault="002B7490">
            <w:pPr>
              <w:jc w:val="center"/>
              <w:rPr>
                <w:rFonts w:cs="Arial"/>
                <w:noProof/>
                <w:color w:val="000000" w:themeColor="text1"/>
                <w:szCs w:val="16"/>
              </w:rPr>
            </w:pPr>
            <w:r w:rsidRPr="00781112">
              <w:rPr>
                <w:rFonts w:cs="Arial"/>
                <w:color w:val="000000" w:themeColor="text1"/>
                <w:szCs w:val="16"/>
              </w:rPr>
              <w:t>8</w:t>
            </w:r>
          </w:p>
        </w:tc>
        <w:tc>
          <w:tcPr>
            <w:tcW w:w="1317" w:type="pct"/>
            <w:shd w:val="clear" w:color="auto" w:fill="auto"/>
          </w:tcPr>
          <w:p w14:paraId="1914F665" w14:textId="53788CBE" w:rsidR="009A755E" w:rsidRPr="00781112" w:rsidRDefault="002B7490">
            <w:pPr>
              <w:jc w:val="center"/>
              <w:rPr>
                <w:rFonts w:cs="Arial"/>
                <w:noProof/>
                <w:color w:val="000000" w:themeColor="text1"/>
                <w:szCs w:val="16"/>
              </w:rPr>
            </w:pPr>
            <w:r w:rsidRPr="00781112">
              <w:rPr>
                <w:rFonts w:cs="Arial"/>
                <w:color w:val="000000" w:themeColor="text1"/>
                <w:szCs w:val="16"/>
              </w:rPr>
              <w:t>7</w:t>
            </w:r>
          </w:p>
        </w:tc>
        <w:tc>
          <w:tcPr>
            <w:tcW w:w="1234" w:type="pct"/>
            <w:shd w:val="clear" w:color="auto" w:fill="auto"/>
          </w:tcPr>
          <w:p w14:paraId="543D4553" w14:textId="411E0F5D" w:rsidR="009A755E" w:rsidRPr="00781112" w:rsidRDefault="002B7490">
            <w:pPr>
              <w:jc w:val="center"/>
              <w:rPr>
                <w:rFonts w:cs="Arial"/>
                <w:noProof/>
                <w:color w:val="000000" w:themeColor="text1"/>
                <w:szCs w:val="16"/>
              </w:rPr>
            </w:pPr>
            <w:r w:rsidRPr="00781112">
              <w:rPr>
                <w:rFonts w:cs="Arial"/>
                <w:color w:val="000000" w:themeColor="text1"/>
                <w:szCs w:val="16"/>
              </w:rPr>
              <w:t>1</w:t>
            </w:r>
          </w:p>
        </w:tc>
      </w:tr>
      <w:tr w:rsidR="005C29F8" w:rsidRPr="00781112" w14:paraId="1816F3D1" w14:textId="77777777" w:rsidTr="003968A6">
        <w:tc>
          <w:tcPr>
            <w:tcW w:w="988" w:type="pct"/>
            <w:shd w:val="clear" w:color="auto" w:fill="auto"/>
          </w:tcPr>
          <w:p w14:paraId="1177FA9A" w14:textId="73A2A90B" w:rsidR="009A755E" w:rsidRPr="00781112" w:rsidRDefault="009A755E" w:rsidP="00A018D4">
            <w:pPr>
              <w:jc w:val="center"/>
              <w:rPr>
                <w:rFonts w:cs="Arial"/>
                <w:color w:val="000000" w:themeColor="text1"/>
                <w:szCs w:val="16"/>
              </w:rPr>
            </w:pPr>
          </w:p>
        </w:tc>
        <w:tc>
          <w:tcPr>
            <w:tcW w:w="1461" w:type="pct"/>
            <w:shd w:val="clear" w:color="auto" w:fill="auto"/>
          </w:tcPr>
          <w:p w14:paraId="42D596E0" w14:textId="4BE898FD" w:rsidR="009A755E" w:rsidRPr="00781112" w:rsidRDefault="009A755E">
            <w:pPr>
              <w:jc w:val="center"/>
              <w:rPr>
                <w:rFonts w:cs="Arial"/>
                <w:noProof/>
                <w:color w:val="000000" w:themeColor="text1"/>
                <w:szCs w:val="16"/>
              </w:rPr>
            </w:pPr>
          </w:p>
        </w:tc>
        <w:tc>
          <w:tcPr>
            <w:tcW w:w="1317" w:type="pct"/>
            <w:shd w:val="clear" w:color="auto" w:fill="auto"/>
          </w:tcPr>
          <w:p w14:paraId="1709DA4E" w14:textId="03D6E40F" w:rsidR="009A755E" w:rsidRPr="00781112" w:rsidRDefault="009A755E">
            <w:pPr>
              <w:jc w:val="center"/>
              <w:rPr>
                <w:rFonts w:cs="Arial"/>
                <w:noProof/>
                <w:color w:val="000000" w:themeColor="text1"/>
                <w:szCs w:val="16"/>
              </w:rPr>
            </w:pPr>
          </w:p>
        </w:tc>
        <w:tc>
          <w:tcPr>
            <w:tcW w:w="1234" w:type="pct"/>
            <w:shd w:val="clear" w:color="auto" w:fill="auto"/>
          </w:tcPr>
          <w:p w14:paraId="7008AE63" w14:textId="0E87CC18" w:rsidR="009A755E" w:rsidRPr="00781112" w:rsidRDefault="009A755E">
            <w:pPr>
              <w:jc w:val="center"/>
              <w:rPr>
                <w:rFonts w:cs="Arial"/>
                <w:noProof/>
                <w:color w:val="000000" w:themeColor="text1"/>
                <w:szCs w:val="16"/>
              </w:rPr>
            </w:pPr>
          </w:p>
        </w:tc>
      </w:tr>
      <w:tr w:rsidR="005C29F8" w:rsidRPr="00781112" w14:paraId="6B4A8AF5" w14:textId="77777777" w:rsidTr="003968A6">
        <w:tc>
          <w:tcPr>
            <w:tcW w:w="988" w:type="pct"/>
            <w:shd w:val="clear" w:color="auto" w:fill="auto"/>
          </w:tcPr>
          <w:p w14:paraId="43946979" w14:textId="506054A6" w:rsidR="009A755E" w:rsidRPr="00781112" w:rsidRDefault="009A755E" w:rsidP="00A018D4">
            <w:pPr>
              <w:jc w:val="center"/>
              <w:rPr>
                <w:rFonts w:cs="Arial"/>
                <w:color w:val="000000" w:themeColor="text1"/>
                <w:szCs w:val="16"/>
              </w:rPr>
            </w:pPr>
          </w:p>
        </w:tc>
        <w:tc>
          <w:tcPr>
            <w:tcW w:w="1461" w:type="pct"/>
            <w:shd w:val="clear" w:color="auto" w:fill="auto"/>
          </w:tcPr>
          <w:p w14:paraId="2F9F2AEA" w14:textId="4F1403DB" w:rsidR="009A755E" w:rsidRPr="00781112" w:rsidRDefault="009A755E">
            <w:pPr>
              <w:jc w:val="center"/>
              <w:rPr>
                <w:rFonts w:cs="Arial"/>
                <w:noProof/>
                <w:color w:val="000000" w:themeColor="text1"/>
                <w:szCs w:val="16"/>
              </w:rPr>
            </w:pPr>
          </w:p>
        </w:tc>
        <w:tc>
          <w:tcPr>
            <w:tcW w:w="1317" w:type="pct"/>
            <w:shd w:val="clear" w:color="auto" w:fill="auto"/>
          </w:tcPr>
          <w:p w14:paraId="083E1253" w14:textId="465F1687" w:rsidR="009A755E" w:rsidRPr="00781112" w:rsidRDefault="009A755E">
            <w:pPr>
              <w:jc w:val="center"/>
              <w:rPr>
                <w:rFonts w:cs="Arial"/>
                <w:noProof/>
                <w:color w:val="000000" w:themeColor="text1"/>
                <w:szCs w:val="16"/>
              </w:rPr>
            </w:pPr>
          </w:p>
        </w:tc>
        <w:tc>
          <w:tcPr>
            <w:tcW w:w="1234" w:type="pct"/>
            <w:shd w:val="clear" w:color="auto" w:fill="auto"/>
          </w:tcPr>
          <w:p w14:paraId="5051C049" w14:textId="54F55515" w:rsidR="009A755E" w:rsidRPr="00781112" w:rsidRDefault="009A755E">
            <w:pPr>
              <w:jc w:val="center"/>
              <w:rPr>
                <w:rFonts w:cs="Arial"/>
                <w:noProof/>
                <w:color w:val="000000" w:themeColor="text1"/>
                <w:szCs w:val="16"/>
              </w:rPr>
            </w:pPr>
          </w:p>
        </w:tc>
      </w:tr>
    </w:tbl>
    <w:p w14:paraId="0ED1B1B5" w14:textId="6853D71E" w:rsidR="009A221D" w:rsidRPr="00781112" w:rsidRDefault="009A221D" w:rsidP="004369B2">
      <w:pPr>
        <w:rPr>
          <w:rFonts w:cs="Arial"/>
          <w:b/>
          <w:bCs/>
          <w:color w:val="000000" w:themeColor="text1"/>
          <w:szCs w:val="16"/>
        </w:rPr>
      </w:pPr>
      <w:r w:rsidRPr="00781112">
        <w:rPr>
          <w:rFonts w:cs="Arial"/>
          <w:b/>
          <w:bCs/>
          <w:color w:val="000000" w:themeColor="text1"/>
          <w:szCs w:val="16"/>
        </w:rPr>
        <w:t>FFY 2019</w:t>
      </w:r>
    </w:p>
    <w:p w14:paraId="25C1BC10" w14:textId="12C6C3A0" w:rsidR="009A755E" w:rsidRPr="00781112" w:rsidRDefault="009A755E" w:rsidP="004369B2">
      <w:pPr>
        <w:rPr>
          <w:color w:val="000000" w:themeColor="text1"/>
        </w:rPr>
      </w:pPr>
      <w:r w:rsidRPr="00781112">
        <w:rPr>
          <w:b/>
          <w:color w:val="000000" w:themeColor="text1"/>
        </w:rPr>
        <w:t>Findings of Noncompliance Verified as Corrected</w:t>
      </w:r>
    </w:p>
    <w:p w14:paraId="14586A63" w14:textId="460DC4B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470A5E59" w14:textId="6E4B93E2" w:rsidR="00326C0B" w:rsidRPr="00781112" w:rsidRDefault="002B7490" w:rsidP="009A755E">
      <w:pPr>
        <w:rPr>
          <w:rFonts w:cs="Arial"/>
          <w:color w:val="000000" w:themeColor="text1"/>
          <w:szCs w:val="16"/>
        </w:rPr>
      </w:pPr>
      <w:r w:rsidRPr="00781112">
        <w:rPr>
          <w:rFonts w:cs="Arial"/>
          <w:color w:val="000000" w:themeColor="text1"/>
          <w:szCs w:val="16"/>
        </w:rPr>
        <w:t>In the FFY 2020 SPP/APR submission, eight LEAs continued to be under review for noncompliance from FFY 2019. The LEAs received continuing intensive technical assistance that included required corrective action planning and root cause analysis, and the LEAs had to develop targeted plans focused on improving compliance on Indicator 11. The LEAs were considered non-compliant in FFY 2020 because continuous compliance was not demonstrated during the prong 2 reviews. These LEAs had to resolve child-specific findings of noncompliance for FFY 2020, also.</w:t>
      </w:r>
      <w:r w:rsidRPr="00781112">
        <w:rPr>
          <w:rFonts w:cs="Arial"/>
          <w:color w:val="000000" w:themeColor="text1"/>
          <w:szCs w:val="16"/>
        </w:rPr>
        <w:br/>
      </w:r>
      <w:r w:rsidRPr="00781112">
        <w:rPr>
          <w:rFonts w:cs="Arial"/>
          <w:color w:val="000000" w:themeColor="text1"/>
          <w:szCs w:val="16"/>
        </w:rPr>
        <w:br/>
        <w:t>In subsequent data reviews (random record checks in late winter 2022), seven of the eight LEAs demonstrated 100 percent compliance. Data reviews were conducted as described in the prior section ("Describe how the State verified that the source of noncompliance is correctly implementing the regulatory requirements").</w:t>
      </w:r>
    </w:p>
    <w:p w14:paraId="1F4C53D6" w14:textId="19404A71"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4D6CFCBF" w14:textId="034DF97C" w:rsidR="00596F83" w:rsidRPr="00781112" w:rsidRDefault="00596F83" w:rsidP="009A755E">
      <w:pPr>
        <w:rPr>
          <w:rFonts w:cs="Arial"/>
          <w:color w:val="000000" w:themeColor="text1"/>
          <w:szCs w:val="16"/>
        </w:rPr>
      </w:pPr>
      <w:r w:rsidRPr="00781112">
        <w:rPr>
          <w:rFonts w:cs="Arial"/>
          <w:color w:val="000000" w:themeColor="text1"/>
          <w:szCs w:val="16"/>
        </w:rPr>
        <w:t>LEAs were required to submit data showing evidence of completed documentation for identified students. The OSDE-SES reviewed Parent Consent forms and Multidisciplinary Evaluation and Eligibility Group Summary (MEEGS) forms submitted by all LEAs through the statewide online IEP system (OK EdPlan) in order to determine that evaluations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w:t>
      </w:r>
    </w:p>
    <w:p w14:paraId="6B3560D7" w14:textId="4AC08B33" w:rsidR="009A221D" w:rsidRPr="00781112" w:rsidRDefault="009A221D" w:rsidP="009A221D">
      <w:pPr>
        <w:rPr>
          <w:rFonts w:cs="Arial"/>
          <w:b/>
          <w:bCs/>
          <w:color w:val="000000" w:themeColor="text1"/>
          <w:szCs w:val="16"/>
        </w:rPr>
      </w:pPr>
      <w:r w:rsidRPr="00781112">
        <w:rPr>
          <w:rFonts w:cs="Arial"/>
          <w:b/>
          <w:bCs/>
          <w:color w:val="000000" w:themeColor="text1"/>
          <w:szCs w:val="16"/>
        </w:rPr>
        <w:t>FFY 2019</w:t>
      </w:r>
    </w:p>
    <w:p w14:paraId="43B616FA" w14:textId="0C7625B0" w:rsidR="009A755E" w:rsidRPr="00781112" w:rsidRDefault="009A755E" w:rsidP="004369B2">
      <w:pPr>
        <w:rPr>
          <w:color w:val="000000" w:themeColor="text1"/>
        </w:rPr>
      </w:pPr>
      <w:r w:rsidRPr="00781112">
        <w:rPr>
          <w:b/>
          <w:color w:val="000000" w:themeColor="text1"/>
        </w:rPr>
        <w:t>Findings of Noncompliance Not Yet Verified as Corrected</w:t>
      </w:r>
    </w:p>
    <w:p w14:paraId="3B9C4153"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35EA4492" w14:textId="2B907B59" w:rsidR="00326C0B" w:rsidRPr="00781112" w:rsidRDefault="002B7490" w:rsidP="009A755E">
      <w:pPr>
        <w:rPr>
          <w:rFonts w:cs="Arial"/>
          <w:color w:val="000000" w:themeColor="text1"/>
          <w:szCs w:val="16"/>
        </w:rPr>
      </w:pPr>
      <w:r w:rsidRPr="00781112">
        <w:rPr>
          <w:rFonts w:cs="Arial"/>
          <w:color w:val="000000" w:themeColor="text1"/>
          <w:szCs w:val="16"/>
        </w:rPr>
        <w:t xml:space="preserve">If noncompliance is not corrected--meaning LEAs continue to not demonstrate systemic compliance--LEAs are monitored through the differentiated monitoring process for a second consecutive year and are marked as having "longstanding noncompliance" in indicator 11 on their annual determinations. LEAs identified with continuing noncompliance must revisit their improvement plans from the prior year and review and revise to ensure compliance can be achieved. A subsequent analysis of IEPs is conducted at the end of the school year as described in the prior section ("Describe how the State verified that the source of noncompliance is correctly implementing the regulatory requirements"). </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11,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directed will be determined in consultation with the state. </w:t>
      </w:r>
      <w:r w:rsidRPr="00781112">
        <w:rPr>
          <w:rFonts w:cs="Arial"/>
          <w:color w:val="000000" w:themeColor="text1"/>
          <w:szCs w:val="16"/>
        </w:rPr>
        <w:br/>
        <w:t xml:space="preserve">o Invite parents of affected students to the school board meeting to participate in the discussions for the plan for improvement. </w:t>
      </w:r>
      <w:r w:rsidRPr="00781112">
        <w:rPr>
          <w:rFonts w:cs="Arial"/>
          <w:color w:val="000000" w:themeColor="text1"/>
          <w:szCs w:val="16"/>
        </w:rPr>
        <w:br/>
      </w:r>
      <w:r w:rsidRPr="00781112">
        <w:rPr>
          <w:rFonts w:cs="Arial"/>
          <w:color w:val="000000" w:themeColor="text1"/>
          <w:szCs w:val="16"/>
        </w:rPr>
        <w:br/>
        <w:t>The LEA with FFY 2019 "findings not yet verified as corrected" will be flagged for three consecutive years for indicator 11 in the summer of 2023.</w:t>
      </w:r>
    </w:p>
    <w:p w14:paraId="6AA9F004" w14:textId="407DFBC2" w:rsidR="004E2151" w:rsidRPr="00781112" w:rsidRDefault="00C22B92" w:rsidP="00123D76">
      <w:pPr>
        <w:pStyle w:val="Heading2"/>
      </w:pPr>
      <w:r w:rsidRPr="00781112">
        <w:t>11</w:t>
      </w:r>
      <w:r w:rsidR="004838A4" w:rsidRPr="00781112">
        <w:t xml:space="preserve"> </w:t>
      </w:r>
      <w:r w:rsidRPr="00781112">
        <w:t xml:space="preserve">- </w:t>
      </w:r>
      <w:r w:rsidR="004E2151" w:rsidRPr="00781112">
        <w:t>Prior FFY Required Actions</w:t>
      </w:r>
    </w:p>
    <w:p w14:paraId="1469B26E" w14:textId="5BCE6CA0" w:rsidR="004E2151"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2020, the State must report on the status of correction of noncompliance identified in FFY 2020 for this indicator. In addition, the State must demonstrate, in the FFY 2021 SPP/APR, that the remaining 8 uncorrected findings of noncompliance identified in FFY 2019 were corrected.  </w:t>
      </w:r>
      <w:r w:rsidRPr="00781112">
        <w:rPr>
          <w:rFonts w:cs="Arial"/>
          <w:color w:val="000000" w:themeColor="text1"/>
          <w:szCs w:val="16"/>
        </w:rPr>
        <w:br/>
      </w:r>
      <w:r w:rsidRPr="00781112">
        <w:rPr>
          <w:rFonts w:cs="Arial"/>
          <w:color w:val="000000" w:themeColor="text1"/>
          <w:szCs w:val="16"/>
        </w:rPr>
        <w:br/>
        <w:t xml:space="preserve">When reporting on the correction of noncompliance, the State must report, in the FFY 2021 SPP/APR, that it has verified that each LEA with findings of noncompliance identified in FFY 2020 and each LEA with remaining noncompliance identified in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2021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2020, although its FFY 2020 data reflect less than 100% compliance, provide an explanation of why the State did not identify any findings of noncompliance in FFY 2020.</w:t>
      </w:r>
    </w:p>
    <w:p w14:paraId="314020BE" w14:textId="77777777" w:rsidR="009F69E7" w:rsidRPr="00781112" w:rsidRDefault="009F69E7" w:rsidP="004E2151">
      <w:pPr>
        <w:rPr>
          <w:rFonts w:cs="Arial"/>
          <w:color w:val="000000" w:themeColor="text1"/>
          <w:szCs w:val="16"/>
        </w:rPr>
      </w:pPr>
    </w:p>
    <w:p w14:paraId="35EEEBCC" w14:textId="1E6D333E" w:rsidR="004E2151" w:rsidRPr="00781112" w:rsidRDefault="007639D7" w:rsidP="004369B2">
      <w:pPr>
        <w:rPr>
          <w:b/>
          <w:color w:val="000000" w:themeColor="text1"/>
        </w:rPr>
      </w:pPr>
      <w:r>
        <w:rPr>
          <w:b/>
          <w:color w:val="000000" w:themeColor="text1"/>
        </w:rPr>
        <w:t>Response to actions required in FFY 2020 SPP/APR</w:t>
      </w:r>
    </w:p>
    <w:p w14:paraId="29D8AFAD" w14:textId="6EBD882C" w:rsidR="004E2151" w:rsidRPr="00781112" w:rsidRDefault="002B7490" w:rsidP="004E2151">
      <w:pPr>
        <w:rPr>
          <w:rFonts w:cs="Arial"/>
          <w:color w:val="000000" w:themeColor="text1"/>
          <w:szCs w:val="16"/>
        </w:rPr>
      </w:pPr>
      <w:r w:rsidRPr="00781112">
        <w:rPr>
          <w:rFonts w:cs="Arial"/>
          <w:color w:val="000000" w:themeColor="text1"/>
          <w:szCs w:val="16"/>
        </w:rPr>
        <w:t>Reporting completed as required in prior sections.</w:t>
      </w:r>
    </w:p>
    <w:p w14:paraId="1D3AFFE6" w14:textId="5250F151" w:rsidR="007F5071" w:rsidRPr="00781112" w:rsidRDefault="00C22B92" w:rsidP="00123D76">
      <w:pPr>
        <w:pStyle w:val="Heading2"/>
      </w:pPr>
      <w:r w:rsidRPr="00781112">
        <w:t>11 - OSEP Response</w:t>
      </w:r>
    </w:p>
    <w:p w14:paraId="2479DA6D" w14:textId="3DE51C13" w:rsidR="00326C0B" w:rsidRPr="00781112" w:rsidRDefault="00326C0B" w:rsidP="00212954">
      <w:pPr>
        <w:rPr>
          <w:rFonts w:cs="Arial"/>
          <w:color w:val="000000" w:themeColor="text1"/>
          <w:szCs w:val="16"/>
        </w:rPr>
      </w:pPr>
    </w:p>
    <w:p w14:paraId="140652C1" w14:textId="064683E6" w:rsidR="007F5071" w:rsidRPr="00781112" w:rsidRDefault="00C22B92" w:rsidP="00123D76">
      <w:pPr>
        <w:pStyle w:val="Heading2"/>
      </w:pPr>
      <w:r w:rsidRPr="00781112">
        <w:t>11 - Required Actions</w:t>
      </w:r>
    </w:p>
    <w:p w14:paraId="542023B0" w14:textId="425F5FF5" w:rsidR="00326C0B"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2021, the State must report on the status of correction of noncompliance identified in FFY 2021 for this indicator. In addition, the State must demonstrate, in the FFY 2022 SPP/APR, that the remaining six uncorrected findings of noncompliance identified in FFY 2020 and the  one remaining finding from FFY 2019 were corrected.  </w:t>
      </w:r>
      <w:r w:rsidRPr="00781112">
        <w:rPr>
          <w:rFonts w:cs="Arial"/>
          <w:color w:val="000000" w:themeColor="text1"/>
          <w:szCs w:val="16"/>
        </w:rPr>
        <w:br/>
      </w:r>
      <w:r w:rsidRPr="00781112">
        <w:rPr>
          <w:rFonts w:cs="Arial"/>
          <w:color w:val="000000" w:themeColor="text1"/>
          <w:szCs w:val="16"/>
        </w:rPr>
        <w:br/>
        <w:t xml:space="preserve">When reporting on the correction of noncompliance, the State must report, in the FFY 2022 SPP/APR, that it has verified that each LEA with findings of noncompliance identified in FFY 2021 and each LEA with remaining noncompliance identified in FFY 2020 and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529C4C74"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5C7C90D" w14:textId="1ACF121A" w:rsidR="00D03701" w:rsidRPr="00781112" w:rsidRDefault="00D03701" w:rsidP="000444E2">
      <w:pPr>
        <w:pStyle w:val="Heading1"/>
        <w:rPr>
          <w:color w:val="000000" w:themeColor="text1"/>
          <w:sz w:val="22"/>
        </w:rPr>
      </w:pPr>
      <w:r w:rsidRPr="00781112">
        <w:rPr>
          <w:color w:val="000000" w:themeColor="text1"/>
          <w:sz w:val="22"/>
        </w:rPr>
        <w:t>Indicator 12: Early Childhood Transition</w:t>
      </w:r>
      <w:bookmarkEnd w:id="65"/>
      <w:bookmarkEnd w:id="66"/>
      <w:bookmarkEnd w:id="67"/>
    </w:p>
    <w:p w14:paraId="435B75C0" w14:textId="77777777" w:rsidR="00652135" w:rsidRPr="00781112" w:rsidRDefault="00652135" w:rsidP="00A018D4">
      <w:pPr>
        <w:rPr>
          <w:color w:val="000000" w:themeColor="text1"/>
          <w:szCs w:val="20"/>
        </w:rPr>
      </w:pPr>
      <w:r w:rsidRPr="00781112">
        <w:rPr>
          <w:b/>
          <w:color w:val="000000" w:themeColor="text1"/>
          <w:sz w:val="20"/>
          <w:szCs w:val="20"/>
        </w:rPr>
        <w:t>Instructions and Measurement</w:t>
      </w:r>
    </w:p>
    <w:p w14:paraId="6C78EC4F" w14:textId="77777777" w:rsidR="001F3A65" w:rsidRPr="00781112" w:rsidRDefault="001F3A65" w:rsidP="009447A3">
      <w:pPr>
        <w:rPr>
          <w:rFonts w:cs="Arial"/>
          <w:color w:val="000000" w:themeColor="text1"/>
          <w:szCs w:val="16"/>
        </w:rPr>
      </w:pPr>
      <w:bookmarkStart w:id="68" w:name="_Toc384383358"/>
      <w:bookmarkStart w:id="69" w:name="_Toc392159326"/>
      <w:r w:rsidRPr="00781112">
        <w:rPr>
          <w:rFonts w:cs="Arial"/>
          <w:b/>
          <w:color w:val="000000" w:themeColor="text1"/>
          <w:szCs w:val="16"/>
        </w:rPr>
        <w:t>Monitoring Priorit</w:t>
      </w:r>
      <w:r w:rsidRPr="00781112">
        <w:rPr>
          <w:rFonts w:cs="Arial"/>
          <w:color w:val="000000" w:themeColor="text1"/>
          <w:szCs w:val="16"/>
        </w:rPr>
        <w:t>y: Effective General Supervision Part B / Effective Transition</w:t>
      </w:r>
    </w:p>
    <w:p w14:paraId="5BB6E6C8"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760E84D0" w14:textId="3B0C2366"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10C4B518" w14:textId="77777777" w:rsidR="00704E6A" w:rsidRPr="00781112" w:rsidRDefault="00704E6A" w:rsidP="004369B2">
      <w:pPr>
        <w:rPr>
          <w:color w:val="000000" w:themeColor="text1"/>
        </w:rPr>
      </w:pPr>
      <w:r w:rsidRPr="00781112">
        <w:rPr>
          <w:b/>
          <w:color w:val="000000" w:themeColor="text1"/>
        </w:rPr>
        <w:t>Data Source</w:t>
      </w:r>
    </w:p>
    <w:p w14:paraId="65642578" w14:textId="09D10273"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DFE5EEF" w14:textId="77777777" w:rsidR="00704E6A" w:rsidRPr="00781112" w:rsidRDefault="00704E6A" w:rsidP="004369B2">
      <w:pPr>
        <w:rPr>
          <w:color w:val="000000" w:themeColor="text1"/>
        </w:rPr>
      </w:pPr>
      <w:r w:rsidRPr="00781112">
        <w:rPr>
          <w:b/>
          <w:color w:val="000000" w:themeColor="text1"/>
        </w:rPr>
        <w:t>Measurement</w:t>
      </w:r>
    </w:p>
    <w:p w14:paraId="577779AD" w14:textId="51863F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14:paraId="1D83C19C" w14:textId="0381C17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14:paraId="62A73664" w14:textId="3A860D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14:paraId="43DE876C" w14:textId="58ABBAA9"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4AFE260E" w14:textId="6A26A1C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e. # of children determined to be eligible for early intervention services under Part C less than 90 days before their third birthdays.</w:t>
      </w:r>
    </w:p>
    <w:p w14:paraId="1306CF8A" w14:textId="7D69EBBD"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State’s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13DB13F0" w14:textId="77777777" w:rsidR="00A90E71" w:rsidRPr="00781112" w:rsidRDefault="00A90E71" w:rsidP="006A01BD">
      <w:pPr>
        <w:spacing w:before="0" w:after="0"/>
        <w:rPr>
          <w:rFonts w:eastAsia="Times New Roman" w:cs="Arial"/>
          <w:color w:val="000000" w:themeColor="text1"/>
          <w:szCs w:val="16"/>
        </w:rPr>
      </w:pPr>
    </w:p>
    <w:p w14:paraId="07549C8E" w14:textId="77777777" w:rsidR="00704E6A" w:rsidRPr="00781112" w:rsidRDefault="00704E6A" w:rsidP="006A01BD">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14:paraId="5406A8A2" w14:textId="2622A063"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568E2452" w14:textId="77777777" w:rsidR="00704E6A" w:rsidRPr="00781112" w:rsidRDefault="00704E6A" w:rsidP="004369B2">
      <w:pPr>
        <w:rPr>
          <w:color w:val="000000" w:themeColor="text1"/>
        </w:rPr>
      </w:pPr>
      <w:r w:rsidRPr="00781112">
        <w:rPr>
          <w:b/>
          <w:color w:val="000000" w:themeColor="text1"/>
        </w:rPr>
        <w:t>Instructions</w:t>
      </w:r>
    </w:p>
    <w:p w14:paraId="26144B56"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739AF8C8" w14:textId="77777777" w:rsidR="00704E6A" w:rsidRPr="00781112" w:rsidRDefault="00704E6A"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216DD8AC"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1B4708FE" w14:textId="1629AEED"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5D5B86D4" w14:textId="77777777" w:rsidR="00704E6A" w:rsidRPr="00781112" w:rsidRDefault="00704E6A"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1B505E64" w14:textId="5E538FA3" w:rsidR="00704E6A"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79824C1D" w14:textId="3C301685" w:rsidR="00FE7D29" w:rsidRPr="00781112" w:rsidRDefault="00056350" w:rsidP="00123D76">
      <w:pPr>
        <w:pStyle w:val="Heading2"/>
      </w:pPr>
      <w:bookmarkStart w:id="70" w:name="_Toc384383359"/>
      <w:bookmarkStart w:id="71" w:name="_Toc392159327"/>
      <w:bookmarkEnd w:id="68"/>
      <w:bookmarkEnd w:id="69"/>
      <w:r w:rsidRPr="00781112">
        <w:t>12</w:t>
      </w:r>
      <w:r w:rsidR="004838A4" w:rsidRPr="00781112">
        <w:t xml:space="preserve"> </w:t>
      </w:r>
      <w:r w:rsidRPr="00781112">
        <w:t xml:space="preserve">- </w:t>
      </w:r>
      <w:r w:rsidR="00211617" w:rsidRPr="00781112">
        <w:t>Indicator Data</w:t>
      </w:r>
    </w:p>
    <w:p w14:paraId="0150EC4C" w14:textId="77777777" w:rsidR="0091098C" w:rsidRPr="00781112" w:rsidRDefault="0091098C" w:rsidP="004369B2">
      <w:pPr>
        <w:rPr>
          <w:color w:val="000000" w:themeColor="text1"/>
        </w:rPr>
      </w:pPr>
      <w:r w:rsidRPr="00781112">
        <w:rPr>
          <w:b/>
          <w:color w:val="000000" w:themeColor="text1"/>
        </w:rPr>
        <w:t>Not Applicable</w:t>
      </w:r>
    </w:p>
    <w:p w14:paraId="1844E5CA" w14:textId="6EC3A331" w:rsidR="00A5601C" w:rsidRPr="00781112" w:rsidRDefault="005D604C">
      <w:pPr>
        <w:rPr>
          <w:b/>
          <w:color w:val="000000" w:themeColor="text1"/>
        </w:rPr>
      </w:pPr>
      <w:r w:rsidRPr="00781112">
        <w:rPr>
          <w:b/>
          <w:color w:val="000000" w:themeColor="text1"/>
        </w:rPr>
        <w:t>Select yes if this indicator is not applicable.</w:t>
      </w:r>
    </w:p>
    <w:p w14:paraId="5B7EBB05" w14:textId="76B0BD88" w:rsidR="00043AC9" w:rsidRPr="00781112" w:rsidRDefault="00043AC9" w:rsidP="004369B2">
      <w:pPr>
        <w:rPr>
          <w:rFonts w:cs="Arial"/>
          <w:color w:val="000000" w:themeColor="text1"/>
          <w:szCs w:val="16"/>
        </w:rPr>
      </w:pPr>
      <w:r w:rsidRPr="00781112">
        <w:rPr>
          <w:rFonts w:cs="Arial"/>
          <w:color w:val="000000" w:themeColor="text1"/>
          <w:szCs w:val="16"/>
        </w:rPr>
        <w:t>NO</w:t>
      </w:r>
    </w:p>
    <w:p w14:paraId="0D26312C" w14:textId="77777777" w:rsidR="00C50290" w:rsidRPr="00781112" w:rsidRDefault="00C50290" w:rsidP="004369B2">
      <w:pPr>
        <w:rPr>
          <w:color w:val="000000" w:themeColor="text1"/>
        </w:rPr>
      </w:pPr>
    </w:p>
    <w:p w14:paraId="71DDF5C0" w14:textId="3F9EB38B"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056D9953" w14:textId="77777777" w:rsidTr="00123D76">
        <w:trPr>
          <w:trHeight w:val="311"/>
          <w:tblHeader/>
        </w:trPr>
        <w:tc>
          <w:tcPr>
            <w:tcW w:w="1797" w:type="dxa"/>
          </w:tcPr>
          <w:p w14:paraId="3B806594"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47C5AC3E"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693B925B" w14:textId="77777777" w:rsidTr="00123D76">
        <w:trPr>
          <w:trHeight w:val="311"/>
        </w:trPr>
        <w:tc>
          <w:tcPr>
            <w:tcW w:w="1797" w:type="dxa"/>
            <w:vAlign w:val="center"/>
          </w:tcPr>
          <w:p w14:paraId="589FAD9D" w14:textId="6C47315C" w:rsidR="001875AF" w:rsidRPr="00781112" w:rsidRDefault="001875AF" w:rsidP="00123D76">
            <w:pPr>
              <w:jc w:val="center"/>
              <w:rPr>
                <w:bCs/>
                <w:color w:val="000000" w:themeColor="text1"/>
              </w:rPr>
            </w:pPr>
            <w:r w:rsidRPr="00781112">
              <w:rPr>
                <w:bCs/>
                <w:color w:val="000000" w:themeColor="text1"/>
              </w:rPr>
              <w:t>2005</w:t>
            </w:r>
          </w:p>
        </w:tc>
        <w:tc>
          <w:tcPr>
            <w:tcW w:w="1798" w:type="dxa"/>
            <w:vAlign w:val="center"/>
          </w:tcPr>
          <w:p w14:paraId="00D43D2D" w14:textId="0C3ED28A" w:rsidR="001875AF" w:rsidRPr="00781112" w:rsidRDefault="001875AF" w:rsidP="00123D76">
            <w:pPr>
              <w:jc w:val="center"/>
              <w:rPr>
                <w:bCs/>
                <w:color w:val="000000" w:themeColor="text1"/>
              </w:rPr>
            </w:pPr>
            <w:r w:rsidRPr="00781112">
              <w:rPr>
                <w:bCs/>
                <w:color w:val="000000" w:themeColor="text1"/>
              </w:rPr>
              <w:t>86.72%</w:t>
            </w:r>
          </w:p>
        </w:tc>
      </w:tr>
    </w:tbl>
    <w:p w14:paraId="465AB33D"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641F8356" w14:textId="77777777" w:rsidTr="005F2FF9">
        <w:trPr>
          <w:trHeight w:val="350"/>
        </w:trPr>
        <w:tc>
          <w:tcPr>
            <w:tcW w:w="833" w:type="pct"/>
            <w:tcBorders>
              <w:bottom w:val="single" w:sz="4" w:space="0" w:color="auto"/>
            </w:tcBorders>
            <w:shd w:val="clear" w:color="auto" w:fill="auto"/>
          </w:tcPr>
          <w:bookmarkEnd w:id="70"/>
          <w:bookmarkEnd w:id="71"/>
          <w:p w14:paraId="5D9A28F2"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E21A227" w14:textId="61889525" w:rsidR="009447A3"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6B56B4FE" w14:textId="34D3DC5E"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786A53CE" w14:textId="3A94FF3D"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221DF675" w14:textId="00A1F14E"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14:paraId="72849A47" w14:textId="21327CD6"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r>
      <w:tr w:rsidR="005C29F8" w:rsidRPr="00781112" w14:paraId="1A3B7AC8" w14:textId="77777777" w:rsidTr="005F2FF9">
        <w:trPr>
          <w:trHeight w:val="357"/>
        </w:trPr>
        <w:tc>
          <w:tcPr>
            <w:tcW w:w="833" w:type="pct"/>
            <w:shd w:val="clear" w:color="auto" w:fill="auto"/>
          </w:tcPr>
          <w:p w14:paraId="27FE69AA" w14:textId="697900D5" w:rsidR="009447A3" w:rsidRPr="00781112" w:rsidRDefault="009447A3" w:rsidP="008E31C4">
            <w:pP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628560E" w14:textId="0BC4570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47A32E0" w14:textId="064AD14E"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EFE8268" w14:textId="7F4C4E30"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14DDB11E" w14:textId="2D6071C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17E07D81" w14:textId="67F91616"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6BA24638" w14:textId="77777777" w:rsidTr="005F2FF9">
        <w:trPr>
          <w:trHeight w:val="85"/>
        </w:trPr>
        <w:tc>
          <w:tcPr>
            <w:tcW w:w="833" w:type="pct"/>
            <w:shd w:val="clear" w:color="auto" w:fill="auto"/>
          </w:tcPr>
          <w:p w14:paraId="76E217FB" w14:textId="77777777" w:rsidR="009447A3" w:rsidRPr="00781112" w:rsidRDefault="009447A3"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ABEE368" w14:textId="7DA2F686" w:rsidR="009447A3" w:rsidRPr="00781112" w:rsidRDefault="002B7490" w:rsidP="003A4027">
            <w:pPr>
              <w:jc w:val="center"/>
              <w:rPr>
                <w:rFonts w:cs="Arial"/>
                <w:color w:val="000000" w:themeColor="text1"/>
                <w:szCs w:val="16"/>
              </w:rPr>
            </w:pPr>
            <w:r w:rsidRPr="00781112">
              <w:rPr>
                <w:rFonts w:cs="Arial"/>
                <w:color w:val="000000" w:themeColor="text1"/>
                <w:szCs w:val="16"/>
              </w:rPr>
              <w:t>98.52%</w:t>
            </w:r>
          </w:p>
        </w:tc>
        <w:tc>
          <w:tcPr>
            <w:tcW w:w="833" w:type="pct"/>
            <w:shd w:val="clear" w:color="auto" w:fill="auto"/>
          </w:tcPr>
          <w:p w14:paraId="6826E3EC" w14:textId="5DEFD785" w:rsidR="009447A3" w:rsidRPr="00781112" w:rsidRDefault="002B7490" w:rsidP="003A4027">
            <w:pPr>
              <w:jc w:val="center"/>
              <w:rPr>
                <w:rFonts w:cs="Arial"/>
                <w:color w:val="000000" w:themeColor="text1"/>
                <w:szCs w:val="16"/>
              </w:rPr>
            </w:pPr>
            <w:r w:rsidRPr="00781112">
              <w:rPr>
                <w:rFonts w:cs="Arial"/>
                <w:color w:val="000000" w:themeColor="text1"/>
                <w:szCs w:val="16"/>
              </w:rPr>
              <w:t>95.94%</w:t>
            </w:r>
          </w:p>
        </w:tc>
        <w:tc>
          <w:tcPr>
            <w:tcW w:w="833" w:type="pct"/>
            <w:tcBorders>
              <w:bottom w:val="single" w:sz="4" w:space="0" w:color="auto"/>
            </w:tcBorders>
            <w:shd w:val="clear" w:color="auto" w:fill="auto"/>
            <w:vAlign w:val="center"/>
          </w:tcPr>
          <w:p w14:paraId="3702B817" w14:textId="1114F76E" w:rsidR="009447A3" w:rsidRPr="00781112" w:rsidRDefault="002B7490" w:rsidP="003A4027">
            <w:pPr>
              <w:jc w:val="center"/>
              <w:rPr>
                <w:rFonts w:cs="Arial"/>
                <w:color w:val="000000" w:themeColor="text1"/>
                <w:szCs w:val="16"/>
              </w:rPr>
            </w:pPr>
            <w:r w:rsidRPr="00781112">
              <w:rPr>
                <w:rFonts w:cs="Arial"/>
                <w:color w:val="000000" w:themeColor="text1"/>
                <w:szCs w:val="16"/>
              </w:rPr>
              <w:t>95.38%</w:t>
            </w:r>
          </w:p>
        </w:tc>
        <w:tc>
          <w:tcPr>
            <w:tcW w:w="833" w:type="pct"/>
            <w:tcBorders>
              <w:bottom w:val="single" w:sz="4" w:space="0" w:color="auto"/>
            </w:tcBorders>
            <w:shd w:val="clear" w:color="auto" w:fill="auto"/>
            <w:vAlign w:val="center"/>
          </w:tcPr>
          <w:p w14:paraId="7E5D1EA5" w14:textId="75D6241E" w:rsidR="009447A3" w:rsidRPr="00781112" w:rsidRDefault="002B7490" w:rsidP="003A4027">
            <w:pPr>
              <w:jc w:val="center"/>
              <w:rPr>
                <w:rFonts w:cs="Arial"/>
                <w:color w:val="000000" w:themeColor="text1"/>
                <w:szCs w:val="16"/>
              </w:rPr>
            </w:pPr>
            <w:r w:rsidRPr="00781112">
              <w:rPr>
                <w:rFonts w:cs="Arial"/>
                <w:color w:val="000000" w:themeColor="text1"/>
                <w:szCs w:val="16"/>
              </w:rPr>
              <w:t>90.75%</w:t>
            </w:r>
          </w:p>
        </w:tc>
        <w:tc>
          <w:tcPr>
            <w:tcW w:w="834" w:type="pct"/>
            <w:tcBorders>
              <w:bottom w:val="single" w:sz="4" w:space="0" w:color="auto"/>
            </w:tcBorders>
            <w:shd w:val="clear" w:color="auto" w:fill="auto"/>
            <w:vAlign w:val="center"/>
          </w:tcPr>
          <w:p w14:paraId="556DAD68" w14:textId="7FC0436F" w:rsidR="009447A3" w:rsidRPr="00781112" w:rsidRDefault="002B7490" w:rsidP="003A4027">
            <w:pPr>
              <w:jc w:val="center"/>
              <w:rPr>
                <w:rFonts w:cs="Arial"/>
                <w:color w:val="000000" w:themeColor="text1"/>
                <w:szCs w:val="16"/>
              </w:rPr>
            </w:pPr>
            <w:r w:rsidRPr="00781112">
              <w:rPr>
                <w:rFonts w:cs="Arial"/>
                <w:color w:val="000000" w:themeColor="text1"/>
                <w:szCs w:val="16"/>
              </w:rPr>
              <w:t>94.11%</w:t>
            </w:r>
          </w:p>
        </w:tc>
      </w:tr>
    </w:tbl>
    <w:p w14:paraId="3BDF8559" w14:textId="77777777" w:rsidR="00D82883" w:rsidRPr="00781112" w:rsidRDefault="00D82883" w:rsidP="004369B2">
      <w:pPr>
        <w:rPr>
          <w:color w:val="000000" w:themeColor="text1"/>
        </w:rPr>
      </w:pPr>
    </w:p>
    <w:p w14:paraId="32D6DA70" w14:textId="38C36AA8" w:rsidR="007A3964" w:rsidRPr="00781112" w:rsidRDefault="007A3964" w:rsidP="004369B2">
      <w:pPr>
        <w:rPr>
          <w:color w:val="000000" w:themeColor="text1"/>
        </w:rPr>
      </w:pPr>
      <w:r w:rsidRPr="00781112">
        <w:rPr>
          <w:b/>
          <w:color w:val="000000" w:themeColor="text1"/>
        </w:rPr>
        <w:t>Targets</w:t>
      </w:r>
    </w:p>
    <w:tbl>
      <w:tblPr>
        <w:tblW w:w="4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79"/>
        <w:gridCol w:w="1585"/>
        <w:gridCol w:w="1698"/>
        <w:gridCol w:w="1699"/>
        <w:gridCol w:w="1699"/>
        <w:gridCol w:w="1697"/>
      </w:tblGrid>
      <w:tr w:rsidR="00B14519" w:rsidRPr="00781112" w14:paraId="41D3AE7A" w14:textId="578794F0" w:rsidTr="00451D7E">
        <w:trPr>
          <w:trHeight w:val="328"/>
        </w:trPr>
        <w:tc>
          <w:tcPr>
            <w:tcW w:w="278" w:type="pct"/>
            <w:tcBorders>
              <w:bottom w:val="single" w:sz="4" w:space="0" w:color="auto"/>
            </w:tcBorders>
            <w:shd w:val="clear" w:color="auto" w:fill="auto"/>
          </w:tcPr>
          <w:p w14:paraId="7786D02D" w14:textId="77777777" w:rsidR="00B14519" w:rsidRPr="00781112" w:rsidRDefault="00B14519" w:rsidP="00AF574F">
            <w:pPr>
              <w:jc w:val="center"/>
              <w:rPr>
                <w:b/>
                <w:color w:val="000000" w:themeColor="text1"/>
              </w:rPr>
            </w:pPr>
            <w:r w:rsidRPr="00781112">
              <w:rPr>
                <w:b/>
                <w:color w:val="000000" w:themeColor="text1"/>
              </w:rPr>
              <w:t>FFY</w:t>
            </w:r>
          </w:p>
        </w:tc>
        <w:tc>
          <w:tcPr>
            <w:tcW w:w="895" w:type="pct"/>
            <w:shd w:val="clear" w:color="auto" w:fill="auto"/>
          </w:tcPr>
          <w:p w14:paraId="09ED5838" w14:textId="77777777" w:rsidR="00B14519" w:rsidRPr="00781112" w:rsidRDefault="00B14519" w:rsidP="00AF574F">
            <w:pPr>
              <w:jc w:val="center"/>
              <w:rPr>
                <w:b/>
                <w:color w:val="000000" w:themeColor="text1"/>
              </w:rPr>
            </w:pPr>
            <w:r w:rsidRPr="00781112">
              <w:rPr>
                <w:b/>
                <w:color w:val="000000" w:themeColor="text1"/>
              </w:rPr>
              <w:t>2021</w:t>
            </w:r>
          </w:p>
        </w:tc>
        <w:tc>
          <w:tcPr>
            <w:tcW w:w="957" w:type="pct"/>
          </w:tcPr>
          <w:p w14:paraId="0769903C" w14:textId="05A227DB" w:rsidR="00B14519" w:rsidRPr="00781112" w:rsidRDefault="00B14519" w:rsidP="00AF574F">
            <w:pPr>
              <w:jc w:val="center"/>
              <w:rPr>
                <w:b/>
                <w:color w:val="000000" w:themeColor="text1"/>
              </w:rPr>
            </w:pPr>
            <w:r w:rsidRPr="00781112">
              <w:rPr>
                <w:rFonts w:cs="Arial"/>
                <w:b/>
                <w:color w:val="000000" w:themeColor="text1"/>
                <w:szCs w:val="16"/>
              </w:rPr>
              <w:t>2022</w:t>
            </w:r>
          </w:p>
        </w:tc>
        <w:tc>
          <w:tcPr>
            <w:tcW w:w="957" w:type="pct"/>
          </w:tcPr>
          <w:p w14:paraId="77CF077D" w14:textId="38DFC132" w:rsidR="00B14519" w:rsidRPr="00781112" w:rsidRDefault="00B14519" w:rsidP="00AF574F">
            <w:pPr>
              <w:jc w:val="center"/>
              <w:rPr>
                <w:b/>
                <w:color w:val="000000" w:themeColor="text1"/>
              </w:rPr>
            </w:pPr>
            <w:r w:rsidRPr="00781112">
              <w:rPr>
                <w:rFonts w:cs="Arial"/>
                <w:b/>
                <w:color w:val="000000" w:themeColor="text1"/>
                <w:szCs w:val="16"/>
              </w:rPr>
              <w:t>2023</w:t>
            </w:r>
          </w:p>
        </w:tc>
        <w:tc>
          <w:tcPr>
            <w:tcW w:w="957" w:type="pct"/>
          </w:tcPr>
          <w:p w14:paraId="5C5F415E" w14:textId="7B035D53" w:rsidR="00B14519" w:rsidRPr="00781112" w:rsidRDefault="00B14519" w:rsidP="00AF574F">
            <w:pPr>
              <w:jc w:val="center"/>
              <w:rPr>
                <w:b/>
                <w:color w:val="000000" w:themeColor="text1"/>
              </w:rPr>
            </w:pPr>
            <w:r w:rsidRPr="00781112">
              <w:rPr>
                <w:rFonts w:cs="Arial"/>
                <w:b/>
                <w:color w:val="000000" w:themeColor="text1"/>
                <w:szCs w:val="16"/>
              </w:rPr>
              <w:t>2024</w:t>
            </w:r>
          </w:p>
        </w:tc>
        <w:tc>
          <w:tcPr>
            <w:tcW w:w="957" w:type="pct"/>
          </w:tcPr>
          <w:p w14:paraId="4D5B8FD6" w14:textId="4B2021E7" w:rsidR="00B14519" w:rsidRPr="00781112" w:rsidRDefault="00B14519" w:rsidP="00AF574F">
            <w:pPr>
              <w:jc w:val="center"/>
              <w:rPr>
                <w:b/>
                <w:color w:val="000000" w:themeColor="text1"/>
              </w:rPr>
            </w:pPr>
            <w:r w:rsidRPr="00781112">
              <w:rPr>
                <w:rFonts w:cs="Arial"/>
                <w:b/>
                <w:color w:val="000000" w:themeColor="text1"/>
                <w:szCs w:val="16"/>
              </w:rPr>
              <w:t>2025</w:t>
            </w:r>
          </w:p>
        </w:tc>
      </w:tr>
      <w:tr w:rsidR="00B14519" w:rsidRPr="00781112" w14:paraId="2B267817" w14:textId="2A03C05D" w:rsidTr="00451D7E">
        <w:trPr>
          <w:trHeight w:val="335"/>
        </w:trPr>
        <w:tc>
          <w:tcPr>
            <w:tcW w:w="278" w:type="pct"/>
            <w:shd w:val="clear" w:color="auto" w:fill="auto"/>
            <w:vAlign w:val="center"/>
          </w:tcPr>
          <w:p w14:paraId="70D956A8" w14:textId="77777777" w:rsidR="00B14519" w:rsidRPr="00781112" w:rsidRDefault="00B14519" w:rsidP="00AF574F">
            <w:pPr>
              <w:rPr>
                <w:rFonts w:cs="Arial"/>
                <w:color w:val="000000" w:themeColor="text1"/>
                <w:szCs w:val="16"/>
              </w:rPr>
            </w:pPr>
            <w:r w:rsidRPr="00781112">
              <w:rPr>
                <w:rFonts w:cs="Arial"/>
                <w:color w:val="000000" w:themeColor="text1"/>
                <w:szCs w:val="16"/>
              </w:rPr>
              <w:t xml:space="preserve">Target </w:t>
            </w:r>
          </w:p>
        </w:tc>
        <w:tc>
          <w:tcPr>
            <w:tcW w:w="895" w:type="pct"/>
            <w:shd w:val="clear" w:color="auto" w:fill="auto"/>
            <w:vAlign w:val="center"/>
          </w:tcPr>
          <w:p w14:paraId="5CDE7127" w14:textId="59D1386F" w:rsidR="00B14519" w:rsidRPr="00781112" w:rsidRDefault="00B14519" w:rsidP="00AF574F">
            <w:pPr>
              <w:jc w:val="center"/>
              <w:rPr>
                <w:rFonts w:cs="Arial"/>
                <w:color w:val="000000" w:themeColor="text1"/>
                <w:szCs w:val="16"/>
              </w:rPr>
            </w:pPr>
            <w:r w:rsidRPr="00781112">
              <w:rPr>
                <w:rFonts w:cs="Arial"/>
                <w:color w:val="000000" w:themeColor="text1"/>
                <w:szCs w:val="16"/>
              </w:rPr>
              <w:t>100%</w:t>
            </w:r>
          </w:p>
        </w:tc>
        <w:tc>
          <w:tcPr>
            <w:tcW w:w="957" w:type="pct"/>
          </w:tcPr>
          <w:p w14:paraId="6CF78C3F" w14:textId="1B45F3AE" w:rsidR="00B14519" w:rsidRPr="00781112" w:rsidRDefault="00B14519" w:rsidP="00AF574F">
            <w:pPr>
              <w:jc w:val="center"/>
              <w:rPr>
                <w:rFonts w:cs="Arial"/>
                <w:color w:val="000000" w:themeColor="text1"/>
                <w:szCs w:val="16"/>
              </w:rPr>
            </w:pPr>
            <w:r w:rsidRPr="00781112">
              <w:rPr>
                <w:color w:val="000000" w:themeColor="text1"/>
                <w:szCs w:val="16"/>
              </w:rPr>
              <w:t>100%</w:t>
            </w:r>
          </w:p>
        </w:tc>
        <w:tc>
          <w:tcPr>
            <w:tcW w:w="957" w:type="pct"/>
          </w:tcPr>
          <w:p w14:paraId="6FCC2C45" w14:textId="5131688B" w:rsidR="00B14519" w:rsidRPr="00781112" w:rsidRDefault="00B14519" w:rsidP="00AF574F">
            <w:pPr>
              <w:jc w:val="center"/>
              <w:rPr>
                <w:rFonts w:cs="Arial"/>
                <w:color w:val="000000" w:themeColor="text1"/>
                <w:szCs w:val="16"/>
              </w:rPr>
            </w:pPr>
            <w:r w:rsidRPr="00781112">
              <w:rPr>
                <w:color w:val="000000" w:themeColor="text1"/>
                <w:szCs w:val="16"/>
              </w:rPr>
              <w:t>100%</w:t>
            </w:r>
          </w:p>
        </w:tc>
        <w:tc>
          <w:tcPr>
            <w:tcW w:w="957" w:type="pct"/>
          </w:tcPr>
          <w:p w14:paraId="06CB35C0" w14:textId="66848221" w:rsidR="00B14519" w:rsidRPr="00781112" w:rsidRDefault="00B14519" w:rsidP="00AF574F">
            <w:pPr>
              <w:jc w:val="center"/>
              <w:rPr>
                <w:rFonts w:cs="Arial"/>
                <w:color w:val="000000" w:themeColor="text1"/>
                <w:szCs w:val="16"/>
              </w:rPr>
            </w:pPr>
            <w:r w:rsidRPr="00781112">
              <w:rPr>
                <w:color w:val="000000" w:themeColor="text1"/>
                <w:szCs w:val="16"/>
              </w:rPr>
              <w:t>100%</w:t>
            </w:r>
          </w:p>
        </w:tc>
        <w:tc>
          <w:tcPr>
            <w:tcW w:w="957" w:type="pct"/>
          </w:tcPr>
          <w:p w14:paraId="3CD9C2C5" w14:textId="2066089A" w:rsidR="00B14519" w:rsidRPr="00781112" w:rsidRDefault="00B14519" w:rsidP="00AF574F">
            <w:pPr>
              <w:jc w:val="center"/>
              <w:rPr>
                <w:rFonts w:cs="Arial"/>
                <w:color w:val="000000" w:themeColor="text1"/>
                <w:szCs w:val="16"/>
              </w:rPr>
            </w:pPr>
            <w:r w:rsidRPr="00781112">
              <w:rPr>
                <w:color w:val="000000" w:themeColor="text1"/>
                <w:szCs w:val="16"/>
              </w:rPr>
              <w:t>100%</w:t>
            </w:r>
          </w:p>
        </w:tc>
      </w:tr>
    </w:tbl>
    <w:p w14:paraId="1AD7361B" w14:textId="77777777" w:rsidR="00D82883" w:rsidRPr="00781112" w:rsidRDefault="00D82883" w:rsidP="004369B2">
      <w:pPr>
        <w:rPr>
          <w:color w:val="000000" w:themeColor="text1"/>
        </w:rPr>
      </w:pPr>
    </w:p>
    <w:p w14:paraId="4C8DD49F" w14:textId="46BA504F" w:rsidR="00634AD8" w:rsidRPr="00781112" w:rsidRDefault="0047313F" w:rsidP="004369B2">
      <w:pPr>
        <w:rPr>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355"/>
        <w:gridCol w:w="1435"/>
      </w:tblGrid>
      <w:tr w:rsidR="005C29F8" w:rsidRPr="00781112" w14:paraId="5DD64811" w14:textId="77777777" w:rsidTr="009D3860">
        <w:trPr>
          <w:trHeight w:val="350"/>
        </w:trPr>
        <w:tc>
          <w:tcPr>
            <w:tcW w:w="4335" w:type="pct"/>
          </w:tcPr>
          <w:p w14:paraId="7822AF5A"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a. Number of children who have been served in Part C and referred to Part B for Part B eligibility determination. </w:t>
            </w:r>
          </w:p>
        </w:tc>
        <w:tc>
          <w:tcPr>
            <w:tcW w:w="665" w:type="pct"/>
            <w:shd w:val="clear" w:color="auto" w:fill="auto"/>
            <w:vAlign w:val="center"/>
          </w:tcPr>
          <w:p w14:paraId="65ADF67F" w14:textId="14592995" w:rsidR="00634AD8" w:rsidRPr="00781112" w:rsidRDefault="002B7490" w:rsidP="00A018D4">
            <w:pPr>
              <w:jc w:val="center"/>
              <w:rPr>
                <w:rFonts w:cs="Arial"/>
                <w:color w:val="000000" w:themeColor="text1"/>
                <w:szCs w:val="16"/>
              </w:rPr>
            </w:pPr>
            <w:r w:rsidRPr="00781112">
              <w:rPr>
                <w:rFonts w:cs="Arial"/>
                <w:color w:val="000000" w:themeColor="text1"/>
                <w:szCs w:val="16"/>
              </w:rPr>
              <w:t>1,387</w:t>
            </w:r>
          </w:p>
        </w:tc>
      </w:tr>
      <w:tr w:rsidR="005C29F8" w:rsidRPr="00781112" w14:paraId="6497A162" w14:textId="77777777" w:rsidTr="009D3860">
        <w:trPr>
          <w:trHeight w:val="357"/>
        </w:trPr>
        <w:tc>
          <w:tcPr>
            <w:tcW w:w="4335" w:type="pct"/>
          </w:tcPr>
          <w:p w14:paraId="00979D8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shd w:val="clear" w:color="auto" w:fill="auto"/>
            <w:vAlign w:val="center"/>
          </w:tcPr>
          <w:p w14:paraId="5383065B" w14:textId="0CFFF590" w:rsidR="00634AD8" w:rsidRPr="00781112" w:rsidRDefault="002B7490" w:rsidP="00A018D4">
            <w:pPr>
              <w:jc w:val="center"/>
              <w:rPr>
                <w:rFonts w:cs="Arial"/>
                <w:color w:val="000000" w:themeColor="text1"/>
                <w:szCs w:val="16"/>
              </w:rPr>
            </w:pPr>
            <w:r w:rsidRPr="00781112">
              <w:rPr>
                <w:rFonts w:cs="Arial"/>
                <w:color w:val="000000" w:themeColor="text1"/>
                <w:szCs w:val="16"/>
              </w:rPr>
              <w:t>207</w:t>
            </w:r>
          </w:p>
        </w:tc>
      </w:tr>
      <w:tr w:rsidR="005C29F8" w:rsidRPr="00781112" w14:paraId="3372C19D" w14:textId="77777777" w:rsidTr="009D3860">
        <w:trPr>
          <w:trHeight w:val="357"/>
        </w:trPr>
        <w:tc>
          <w:tcPr>
            <w:tcW w:w="4335" w:type="pct"/>
          </w:tcPr>
          <w:p w14:paraId="2817071E"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c. Number of those found eligible who have an IEP developed and implemented by their third birthdays. </w:t>
            </w:r>
          </w:p>
        </w:tc>
        <w:tc>
          <w:tcPr>
            <w:tcW w:w="665" w:type="pct"/>
            <w:shd w:val="clear" w:color="auto" w:fill="auto"/>
            <w:vAlign w:val="center"/>
          </w:tcPr>
          <w:p w14:paraId="1678CD90" w14:textId="068B0D57" w:rsidR="00634AD8" w:rsidRPr="00781112" w:rsidRDefault="002B7490" w:rsidP="00A018D4">
            <w:pPr>
              <w:jc w:val="center"/>
              <w:rPr>
                <w:rFonts w:cs="Arial"/>
                <w:color w:val="000000" w:themeColor="text1"/>
                <w:szCs w:val="16"/>
              </w:rPr>
            </w:pPr>
            <w:r w:rsidRPr="00781112">
              <w:rPr>
                <w:rFonts w:cs="Arial"/>
                <w:color w:val="000000" w:themeColor="text1"/>
                <w:szCs w:val="16"/>
              </w:rPr>
              <w:t>764</w:t>
            </w:r>
          </w:p>
        </w:tc>
      </w:tr>
      <w:tr w:rsidR="005C29F8" w:rsidRPr="00781112" w14:paraId="00CE41C8" w14:textId="77777777" w:rsidTr="009D3860">
        <w:trPr>
          <w:trHeight w:val="357"/>
        </w:trPr>
        <w:tc>
          <w:tcPr>
            <w:tcW w:w="4335" w:type="pct"/>
          </w:tcPr>
          <w:p w14:paraId="547A75A2"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shd w:val="clear" w:color="auto" w:fill="auto"/>
            <w:vAlign w:val="center"/>
          </w:tcPr>
          <w:p w14:paraId="78FF9A45" w14:textId="45CD6353" w:rsidR="00634AD8" w:rsidRPr="00781112" w:rsidRDefault="002B7490" w:rsidP="00A018D4">
            <w:pPr>
              <w:jc w:val="center"/>
              <w:rPr>
                <w:rFonts w:cs="Arial"/>
                <w:color w:val="000000" w:themeColor="text1"/>
                <w:szCs w:val="16"/>
              </w:rPr>
            </w:pPr>
            <w:r w:rsidRPr="00781112">
              <w:rPr>
                <w:rFonts w:cs="Arial"/>
                <w:color w:val="000000" w:themeColor="text1"/>
                <w:szCs w:val="16"/>
              </w:rPr>
              <w:t>335</w:t>
            </w:r>
          </w:p>
        </w:tc>
      </w:tr>
      <w:tr w:rsidR="005C29F8" w:rsidRPr="00781112" w14:paraId="47C8B30F" w14:textId="77777777" w:rsidTr="009D3860">
        <w:trPr>
          <w:trHeight w:val="357"/>
        </w:trPr>
        <w:tc>
          <w:tcPr>
            <w:tcW w:w="4335" w:type="pct"/>
          </w:tcPr>
          <w:p w14:paraId="03BE3AC0"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shd w:val="clear" w:color="auto" w:fill="auto"/>
            <w:vAlign w:val="center"/>
          </w:tcPr>
          <w:p w14:paraId="33E087DB" w14:textId="01E57E33" w:rsidR="00634AD8" w:rsidRPr="00781112" w:rsidRDefault="002B7490" w:rsidP="00A018D4">
            <w:pPr>
              <w:jc w:val="center"/>
              <w:rPr>
                <w:rFonts w:cs="Arial"/>
                <w:color w:val="000000" w:themeColor="text1"/>
                <w:szCs w:val="16"/>
              </w:rPr>
            </w:pPr>
            <w:r w:rsidRPr="00781112">
              <w:rPr>
                <w:rFonts w:cs="Arial"/>
                <w:color w:val="000000" w:themeColor="text1"/>
                <w:szCs w:val="16"/>
              </w:rPr>
              <w:t>62</w:t>
            </w:r>
          </w:p>
        </w:tc>
      </w:tr>
      <w:tr w:rsidR="004E67B3" w:rsidRPr="00781112" w14:paraId="19297440" w14:textId="77777777" w:rsidTr="009D3860">
        <w:trPr>
          <w:trHeight w:val="357"/>
        </w:trPr>
        <w:tc>
          <w:tcPr>
            <w:tcW w:w="4335" w:type="pct"/>
          </w:tcPr>
          <w:p w14:paraId="592F3289" w14:textId="43CA733D" w:rsidR="004E67B3" w:rsidRPr="00781112" w:rsidRDefault="004E67B3" w:rsidP="003E65F5">
            <w:pPr>
              <w:rPr>
                <w:rFonts w:cs="Arial"/>
                <w:color w:val="000000" w:themeColor="text1"/>
                <w:szCs w:val="16"/>
              </w:rPr>
            </w:pPr>
            <w:r w:rsidRPr="00781112">
              <w:rPr>
                <w:rFonts w:cs="Arial"/>
                <w:color w:val="000000" w:themeColor="text1"/>
                <w:szCs w:val="16"/>
              </w:rPr>
              <w:t>f. Number of children whose parents chose to continue early intervention services beyond the child’s third birthday through a State’s policy under 34 CFR §303.211 or a similar State option.</w:t>
            </w:r>
          </w:p>
        </w:tc>
        <w:tc>
          <w:tcPr>
            <w:tcW w:w="665" w:type="pct"/>
            <w:shd w:val="clear" w:color="auto" w:fill="auto"/>
            <w:vAlign w:val="center"/>
          </w:tcPr>
          <w:p w14:paraId="02B29C79" w14:textId="62FEE650" w:rsidR="004E67B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798A2079"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B1652C" w:rsidRPr="00781112" w14:paraId="666B6B4E" w14:textId="2C1DC9A0" w:rsidTr="0010170F">
        <w:trPr>
          <w:trHeight w:val="340"/>
          <w:tblHeader/>
        </w:trPr>
        <w:tc>
          <w:tcPr>
            <w:tcW w:w="831" w:type="pct"/>
            <w:shd w:val="clear" w:color="auto" w:fill="auto"/>
          </w:tcPr>
          <w:p w14:paraId="5A0321EA" w14:textId="34C57852" w:rsidR="00B1652C" w:rsidRPr="00781112" w:rsidRDefault="00B1652C" w:rsidP="00B1652C">
            <w:pPr>
              <w:rPr>
                <w:rFonts w:cs="Arial"/>
                <w:b/>
                <w:bCs/>
                <w:color w:val="000000" w:themeColor="text1"/>
                <w:szCs w:val="16"/>
              </w:rPr>
            </w:pPr>
            <w:r w:rsidRPr="00781112">
              <w:rPr>
                <w:rFonts w:cs="Arial"/>
                <w:b/>
                <w:bCs/>
                <w:color w:val="000000" w:themeColor="text1"/>
                <w:szCs w:val="16"/>
              </w:rPr>
              <w:t>Measure</w:t>
            </w:r>
          </w:p>
        </w:tc>
        <w:tc>
          <w:tcPr>
            <w:tcW w:w="595" w:type="pct"/>
            <w:shd w:val="clear" w:color="auto" w:fill="auto"/>
          </w:tcPr>
          <w:p w14:paraId="4539005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Numerator (c)</w:t>
            </w:r>
          </w:p>
        </w:tc>
        <w:tc>
          <w:tcPr>
            <w:tcW w:w="595" w:type="pct"/>
            <w:shd w:val="clear" w:color="auto" w:fill="auto"/>
          </w:tcPr>
          <w:p w14:paraId="46860D80" w14:textId="77777777" w:rsidR="00B1652C" w:rsidRPr="0075451F" w:rsidRDefault="00B1652C" w:rsidP="00B1652C">
            <w:pPr>
              <w:jc w:val="center"/>
              <w:rPr>
                <w:rFonts w:cs="Arial"/>
                <w:b/>
                <w:color w:val="000000" w:themeColor="text1"/>
                <w:szCs w:val="16"/>
                <w:lang w:val="es-ES"/>
              </w:rPr>
            </w:pPr>
            <w:r w:rsidRPr="0075451F">
              <w:rPr>
                <w:rFonts w:cs="Arial"/>
                <w:b/>
                <w:color w:val="000000" w:themeColor="text1"/>
                <w:szCs w:val="16"/>
                <w:lang w:val="es-ES"/>
              </w:rPr>
              <w:t>Denominator (a-b-d-e-f)</w:t>
            </w:r>
          </w:p>
        </w:tc>
        <w:tc>
          <w:tcPr>
            <w:tcW w:w="595" w:type="pct"/>
            <w:shd w:val="clear" w:color="auto" w:fill="auto"/>
            <w:vAlign w:val="bottom"/>
          </w:tcPr>
          <w:p w14:paraId="58F547FF" w14:textId="74A7B658" w:rsidR="00B1652C" w:rsidRPr="006D0A52" w:rsidRDefault="00B1652C" w:rsidP="00B1652C">
            <w:pPr>
              <w:jc w:val="center"/>
              <w:rPr>
                <w:rFonts w:cs="Arial"/>
                <w:b/>
                <w:bCs/>
                <w:color w:val="000000" w:themeColor="text1"/>
                <w:szCs w:val="16"/>
              </w:rPr>
            </w:pPr>
            <w:r w:rsidRPr="006D0A52">
              <w:rPr>
                <w:b/>
                <w:bCs/>
              </w:rPr>
              <w:t>FFY 2020 Data</w:t>
            </w:r>
          </w:p>
        </w:tc>
        <w:tc>
          <w:tcPr>
            <w:tcW w:w="595" w:type="pct"/>
            <w:shd w:val="clear" w:color="auto" w:fill="auto"/>
            <w:vAlign w:val="bottom"/>
          </w:tcPr>
          <w:p w14:paraId="36BD2BCA" w14:textId="610B5164" w:rsidR="00B1652C" w:rsidRPr="006D0A52" w:rsidRDefault="00B1652C" w:rsidP="00B1652C">
            <w:pPr>
              <w:jc w:val="center"/>
              <w:rPr>
                <w:rFonts w:cs="Arial"/>
                <w:b/>
                <w:bCs/>
                <w:color w:val="000000" w:themeColor="text1"/>
                <w:szCs w:val="16"/>
              </w:rPr>
            </w:pPr>
            <w:r w:rsidRPr="006D0A52">
              <w:rPr>
                <w:b/>
                <w:bCs/>
              </w:rPr>
              <w:t>FFY 2021 Target</w:t>
            </w:r>
          </w:p>
        </w:tc>
        <w:tc>
          <w:tcPr>
            <w:tcW w:w="595" w:type="pct"/>
            <w:shd w:val="clear" w:color="auto" w:fill="auto"/>
            <w:vAlign w:val="bottom"/>
          </w:tcPr>
          <w:p w14:paraId="0030B6C4" w14:textId="0A3E5A40" w:rsidR="00B1652C" w:rsidRPr="006D0A52" w:rsidRDefault="00B1652C" w:rsidP="00B1652C">
            <w:pPr>
              <w:jc w:val="center"/>
              <w:rPr>
                <w:rFonts w:cs="Arial"/>
                <w:b/>
                <w:bCs/>
                <w:color w:val="000000" w:themeColor="text1"/>
                <w:szCs w:val="16"/>
              </w:rPr>
            </w:pPr>
            <w:r w:rsidRPr="006D0A52">
              <w:rPr>
                <w:b/>
                <w:bCs/>
              </w:rPr>
              <w:t>FFY 2021 Data</w:t>
            </w:r>
          </w:p>
        </w:tc>
        <w:tc>
          <w:tcPr>
            <w:tcW w:w="595" w:type="pct"/>
            <w:shd w:val="clear" w:color="auto" w:fill="auto"/>
          </w:tcPr>
          <w:p w14:paraId="16905A6D" w14:textId="19A3632B"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596" w:type="pct"/>
            <w:shd w:val="clear" w:color="auto" w:fill="auto"/>
          </w:tcPr>
          <w:p w14:paraId="0DCCD9DE" w14:textId="3F28AD6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F7C0EED" w14:textId="06CECBDB" w:rsidTr="005F2FF9">
        <w:trPr>
          <w:trHeight w:val="347"/>
        </w:trPr>
        <w:tc>
          <w:tcPr>
            <w:tcW w:w="831" w:type="pct"/>
            <w:shd w:val="clear" w:color="auto" w:fill="auto"/>
          </w:tcPr>
          <w:p w14:paraId="42006EF2" w14:textId="30F01538" w:rsidR="009447A3" w:rsidRPr="00781112" w:rsidRDefault="00616BA4" w:rsidP="009447A3">
            <w:pPr>
              <w:rPr>
                <w:rFonts w:cs="Arial"/>
                <w:color w:val="000000" w:themeColor="text1"/>
                <w:szCs w:val="16"/>
              </w:rPr>
            </w:pPr>
            <w:r w:rsidRPr="00781112">
              <w:rPr>
                <w:rFonts w:cs="Arial"/>
                <w:color w:val="000000" w:themeColor="text1"/>
                <w:szCs w:val="16"/>
              </w:rPr>
              <w:t>Percent of children referred by Part C prior to age 3 who are found eligible for Part B, and who have an IEP developed and implemented by their third birthdays.</w:t>
            </w:r>
          </w:p>
        </w:tc>
        <w:tc>
          <w:tcPr>
            <w:tcW w:w="595" w:type="pct"/>
            <w:shd w:val="clear" w:color="auto" w:fill="auto"/>
            <w:vAlign w:val="center"/>
          </w:tcPr>
          <w:p w14:paraId="25AD0B10" w14:textId="530E8072" w:rsidR="009447A3" w:rsidRPr="00781112" w:rsidRDefault="00FA318E" w:rsidP="004369B2">
            <w:pPr>
              <w:jc w:val="center"/>
              <w:rPr>
                <w:rFonts w:cs="Arial"/>
                <w:color w:val="000000" w:themeColor="text1"/>
                <w:szCs w:val="16"/>
              </w:rPr>
            </w:pPr>
            <w:r w:rsidRPr="00781112">
              <w:rPr>
                <w:rFonts w:cs="Arial"/>
                <w:color w:val="000000" w:themeColor="text1"/>
                <w:szCs w:val="16"/>
              </w:rPr>
              <w:t>764</w:t>
            </w:r>
          </w:p>
        </w:tc>
        <w:tc>
          <w:tcPr>
            <w:tcW w:w="595" w:type="pct"/>
            <w:shd w:val="clear" w:color="auto" w:fill="auto"/>
            <w:vAlign w:val="center"/>
          </w:tcPr>
          <w:p w14:paraId="7A8E33C9" w14:textId="2CE029E7" w:rsidR="009447A3" w:rsidRPr="00781112" w:rsidRDefault="00FA318E" w:rsidP="004369B2">
            <w:pPr>
              <w:jc w:val="center"/>
              <w:rPr>
                <w:rFonts w:cs="Arial"/>
                <w:color w:val="000000" w:themeColor="text1"/>
                <w:szCs w:val="16"/>
              </w:rPr>
            </w:pPr>
            <w:r w:rsidRPr="00781112">
              <w:rPr>
                <w:rFonts w:cs="Arial"/>
                <w:color w:val="000000" w:themeColor="text1"/>
                <w:szCs w:val="16"/>
              </w:rPr>
              <w:t>783</w:t>
            </w:r>
          </w:p>
        </w:tc>
        <w:tc>
          <w:tcPr>
            <w:tcW w:w="595" w:type="pct"/>
            <w:shd w:val="clear" w:color="auto" w:fill="auto"/>
            <w:vAlign w:val="center"/>
          </w:tcPr>
          <w:p w14:paraId="7A618E17" w14:textId="730CF37E" w:rsidR="009447A3" w:rsidRPr="00781112" w:rsidRDefault="002B7490" w:rsidP="004369B2">
            <w:pPr>
              <w:jc w:val="center"/>
              <w:rPr>
                <w:rFonts w:cs="Arial"/>
                <w:color w:val="000000" w:themeColor="text1"/>
                <w:szCs w:val="16"/>
              </w:rPr>
            </w:pPr>
            <w:r w:rsidRPr="00781112">
              <w:rPr>
                <w:rFonts w:cs="Arial"/>
                <w:color w:val="000000" w:themeColor="text1"/>
                <w:szCs w:val="16"/>
              </w:rPr>
              <w:t>94.11%</w:t>
            </w:r>
          </w:p>
        </w:tc>
        <w:tc>
          <w:tcPr>
            <w:tcW w:w="595" w:type="pct"/>
            <w:shd w:val="clear" w:color="auto" w:fill="auto"/>
            <w:vAlign w:val="center"/>
          </w:tcPr>
          <w:p w14:paraId="173DD24A" w14:textId="02E11A38"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shd w:val="clear" w:color="auto" w:fill="auto"/>
            <w:vAlign w:val="center"/>
          </w:tcPr>
          <w:p w14:paraId="1BEC9517" w14:textId="612C62AC" w:rsidR="009447A3" w:rsidRPr="00781112" w:rsidRDefault="002B7490" w:rsidP="004369B2">
            <w:pPr>
              <w:jc w:val="center"/>
              <w:rPr>
                <w:rFonts w:cs="Arial"/>
                <w:color w:val="000000" w:themeColor="text1"/>
                <w:szCs w:val="16"/>
              </w:rPr>
            </w:pPr>
            <w:r w:rsidRPr="00781112">
              <w:rPr>
                <w:rFonts w:cs="Arial"/>
                <w:color w:val="000000" w:themeColor="text1"/>
                <w:szCs w:val="16"/>
              </w:rPr>
              <w:t>97.57%</w:t>
            </w:r>
          </w:p>
        </w:tc>
        <w:tc>
          <w:tcPr>
            <w:tcW w:w="595" w:type="pct"/>
            <w:shd w:val="clear" w:color="auto" w:fill="auto"/>
            <w:vAlign w:val="center"/>
          </w:tcPr>
          <w:p w14:paraId="35C0024C" w14:textId="6347E5FC" w:rsidR="009447A3"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96" w:type="pct"/>
            <w:shd w:val="clear" w:color="auto" w:fill="auto"/>
            <w:vAlign w:val="center"/>
          </w:tcPr>
          <w:p w14:paraId="466F387F" w14:textId="652A9CC9" w:rsidR="009447A3"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416C2F1" w14:textId="701A59F0"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621D77AD" w14:textId="2BC90681" w:rsidR="00A5601C" w:rsidRPr="00781112" w:rsidRDefault="00A5601C" w:rsidP="007D435F">
      <w:pPr>
        <w:rPr>
          <w:rFonts w:cs="Arial"/>
          <w:color w:val="000000" w:themeColor="text1"/>
          <w:szCs w:val="16"/>
        </w:rPr>
      </w:pPr>
      <w:r w:rsidRPr="00781112">
        <w:rPr>
          <w:rFonts w:cs="Arial"/>
          <w:color w:val="000000" w:themeColor="text1"/>
          <w:szCs w:val="16"/>
        </w:rPr>
        <w:t>19</w:t>
      </w:r>
    </w:p>
    <w:p w14:paraId="2DB77447" w14:textId="5C5B3699" w:rsidR="00E418E6" w:rsidRPr="00781112" w:rsidRDefault="00326C0B" w:rsidP="006A01BD">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14:paraId="542A680D" w14:textId="2831B065" w:rsidR="00326C0B" w:rsidRPr="00781112" w:rsidRDefault="002B7490" w:rsidP="006A01BD">
      <w:pPr>
        <w:rPr>
          <w:bCs/>
          <w:color w:val="000000" w:themeColor="text1"/>
        </w:rPr>
      </w:pPr>
      <w:r w:rsidRPr="00781112">
        <w:rPr>
          <w:bCs/>
          <w:color w:val="000000" w:themeColor="text1"/>
        </w:rPr>
        <w:t>Maximum range of days past third birthday when eligibility was determined and the IEP developed: 146</w:t>
      </w:r>
      <w:r w:rsidRPr="00781112">
        <w:rPr>
          <w:bCs/>
          <w:color w:val="000000" w:themeColor="text1"/>
        </w:rPr>
        <w:br/>
      </w:r>
      <w:r w:rsidRPr="00781112">
        <w:rPr>
          <w:bCs/>
          <w:color w:val="000000" w:themeColor="text1"/>
        </w:rPr>
        <w:br/>
        <w:t>Reasons for delay reported to the state (a single delay may have multiple reasons):</w:t>
      </w:r>
      <w:r w:rsidRPr="00781112">
        <w:rPr>
          <w:bCs/>
          <w:color w:val="000000" w:themeColor="text1"/>
        </w:rPr>
        <w:br/>
        <w:t>LEA failure to follow appropriate procedures: 15</w:t>
      </w:r>
      <w:r w:rsidRPr="00781112">
        <w:rPr>
          <w:bCs/>
          <w:color w:val="000000" w:themeColor="text1"/>
        </w:rPr>
        <w:br/>
        <w:t>MEEGS team needed additional data: 2</w:t>
      </w:r>
      <w:r w:rsidRPr="00781112">
        <w:rPr>
          <w:bCs/>
          <w:color w:val="000000" w:themeColor="text1"/>
        </w:rPr>
        <w:br/>
        <w:t xml:space="preserve">Breaks in school calendar and/or staff not on contract: 4 </w:t>
      </w:r>
      <w:r w:rsidRPr="00781112">
        <w:rPr>
          <w:bCs/>
          <w:color w:val="000000" w:themeColor="text1"/>
        </w:rPr>
        <w:br/>
        <w:t>Delayed referral from Part C: 4</w:t>
      </w:r>
      <w:r w:rsidRPr="00781112">
        <w:rPr>
          <w:bCs/>
          <w:color w:val="000000" w:themeColor="text1"/>
        </w:rPr>
        <w:br/>
        <w:t>Parents did not show for scheduled meeting or delayed meeting: 4</w:t>
      </w:r>
      <w:r w:rsidRPr="00781112">
        <w:rPr>
          <w:bCs/>
          <w:color w:val="000000" w:themeColor="text1"/>
        </w:rPr>
        <w:br/>
        <w:t>Extreme weather or other atypical events such as pandemics: 0</w:t>
      </w:r>
    </w:p>
    <w:p w14:paraId="4BE9E8DB" w14:textId="127EF17F" w:rsidR="00A5601C" w:rsidRPr="00781112" w:rsidRDefault="00326C0B" w:rsidP="006A01BD">
      <w:pPr>
        <w:rPr>
          <w:b/>
          <w:color w:val="000000" w:themeColor="text1"/>
        </w:rPr>
      </w:pPr>
      <w:r w:rsidRPr="00781112">
        <w:rPr>
          <w:b/>
          <w:color w:val="000000" w:themeColor="text1"/>
        </w:rPr>
        <w:t>Attach PDF table (optional)</w:t>
      </w:r>
    </w:p>
    <w:p w14:paraId="79E6A8DD" w14:textId="2B03416C" w:rsidR="00326C0B" w:rsidRPr="00781112" w:rsidRDefault="00326C0B" w:rsidP="006A01BD">
      <w:pPr>
        <w:rPr>
          <w:bCs/>
          <w:color w:val="000000" w:themeColor="text1"/>
        </w:rPr>
      </w:pPr>
      <w:bookmarkStart w:id="72" w:name="_Hlk20318414"/>
      <w:bookmarkEnd w:id="72"/>
    </w:p>
    <w:p w14:paraId="5E057416"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50B7435C" w14:textId="024484CA" w:rsidR="009447A3" w:rsidRPr="00781112" w:rsidRDefault="002B7490" w:rsidP="004369B2">
      <w:pPr>
        <w:rPr>
          <w:color w:val="000000" w:themeColor="text1"/>
        </w:rPr>
      </w:pPr>
      <w:r w:rsidRPr="00781112">
        <w:rPr>
          <w:color w:val="000000" w:themeColor="text1"/>
        </w:rPr>
        <w:t>State database that includes data for the entire reporting year</w:t>
      </w:r>
    </w:p>
    <w:p w14:paraId="4558F99F"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6C2B5D1A" w14:textId="61019073" w:rsidR="00326C0B" w:rsidRPr="00781112" w:rsidRDefault="002B7490" w:rsidP="008E31C4">
      <w:pPr>
        <w:rPr>
          <w:rFonts w:cs="Arial"/>
          <w:color w:val="000000" w:themeColor="text1"/>
          <w:szCs w:val="16"/>
        </w:rPr>
      </w:pPr>
      <w:r w:rsidRPr="00781112">
        <w:rPr>
          <w:rFonts w:cs="Arial"/>
          <w:color w:val="000000" w:themeColor="text1"/>
          <w:szCs w:val="16"/>
        </w:rPr>
        <w:t xml:space="preserve">All LEAs are required to enter specific data (including "Total referred from Part C", "Total determined 'Not Eligible'; Determination complete before 3rd birthday", "Total determined 'Eligible'; IEP completed before 3rd Birthday", "Total parents that declined services", "Total referred less than 90 days prior to 3rd birthday", "IEP not completed prior to 3rd birthday", "Maximum number of days beyond 3rd birthday IEP completed", as well as the reasons for delay) into the End-of-Year District Data Summary Report through the online IEP system. </w:t>
      </w:r>
      <w:r w:rsidRPr="00781112">
        <w:rPr>
          <w:rFonts w:cs="Arial"/>
          <w:color w:val="000000" w:themeColor="text1"/>
          <w:szCs w:val="16"/>
        </w:rPr>
        <w:br/>
      </w:r>
      <w:r w:rsidRPr="00781112">
        <w:rPr>
          <w:rFonts w:cs="Arial"/>
          <w:color w:val="000000" w:themeColor="text1"/>
          <w:szCs w:val="16"/>
        </w:rPr>
        <w:br/>
        <w:t>The district superintendent must login to the End-of-Year Report and certify the data being submitted is accurate and true. LEAs are monitored through District Data Profiles and comprehensive monitoring. Technical assistance is then provided by compliance and program specialists.</w:t>
      </w:r>
    </w:p>
    <w:p w14:paraId="6353DD92"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7201221D" w14:textId="686A034C" w:rsidR="00326C0B" w:rsidRPr="00781112" w:rsidRDefault="00326C0B" w:rsidP="007D435F">
      <w:pPr>
        <w:rPr>
          <w:rFonts w:cs="Arial"/>
          <w:color w:val="000000" w:themeColor="text1"/>
          <w:szCs w:val="16"/>
        </w:rPr>
      </w:pPr>
    </w:p>
    <w:p w14:paraId="4E94D02C" w14:textId="77777777" w:rsidR="009C5AE7" w:rsidRPr="00781112" w:rsidRDefault="009C5AE7" w:rsidP="004369B2">
      <w:pPr>
        <w:rPr>
          <w:color w:val="000000" w:themeColor="text1"/>
        </w:rPr>
      </w:pPr>
    </w:p>
    <w:p w14:paraId="7740DC21" w14:textId="791A6EF5" w:rsidR="009A755E" w:rsidRPr="00781112" w:rsidRDefault="00450F98" w:rsidP="004369B2">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12PFFYNCFINDINGS"/>
      </w:tblPr>
      <w:tblGrid>
        <w:gridCol w:w="2650"/>
        <w:gridCol w:w="2780"/>
        <w:gridCol w:w="2656"/>
        <w:gridCol w:w="2704"/>
      </w:tblGrid>
      <w:tr w:rsidR="005C29F8" w:rsidRPr="00781112" w14:paraId="716024C7" w14:textId="77777777" w:rsidTr="00455889">
        <w:trPr>
          <w:trHeight w:val="389"/>
          <w:tblHeader/>
        </w:trPr>
        <w:tc>
          <w:tcPr>
            <w:tcW w:w="1228" w:type="pct"/>
            <w:shd w:val="clear" w:color="auto" w:fill="auto"/>
            <w:vAlign w:val="bottom"/>
          </w:tcPr>
          <w:p w14:paraId="0E49E3D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43B565E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113F3E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15802D8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362EE0E" w14:textId="77777777" w:rsidTr="00455889">
        <w:tc>
          <w:tcPr>
            <w:tcW w:w="1228" w:type="pct"/>
            <w:shd w:val="clear" w:color="auto" w:fill="auto"/>
          </w:tcPr>
          <w:p w14:paraId="106FED18" w14:textId="3538FD80" w:rsidR="009A755E" w:rsidRPr="00781112" w:rsidRDefault="002B7490" w:rsidP="00A018D4">
            <w:pPr>
              <w:jc w:val="center"/>
              <w:rPr>
                <w:rFonts w:cs="Arial"/>
                <w:color w:val="000000" w:themeColor="text1"/>
                <w:szCs w:val="16"/>
              </w:rPr>
            </w:pPr>
            <w:r w:rsidRPr="00781112">
              <w:rPr>
                <w:rFonts w:cs="Arial"/>
                <w:color w:val="000000" w:themeColor="text1"/>
                <w:szCs w:val="16"/>
              </w:rPr>
              <w:t>23</w:t>
            </w:r>
          </w:p>
        </w:tc>
        <w:tc>
          <w:tcPr>
            <w:tcW w:w="1288" w:type="pct"/>
            <w:shd w:val="clear" w:color="auto" w:fill="auto"/>
          </w:tcPr>
          <w:p w14:paraId="30E75C81" w14:textId="5263D718" w:rsidR="009A755E" w:rsidRPr="00781112" w:rsidRDefault="002B7490" w:rsidP="00A018D4">
            <w:pPr>
              <w:jc w:val="center"/>
              <w:rPr>
                <w:rFonts w:cs="Arial"/>
                <w:color w:val="000000" w:themeColor="text1"/>
                <w:szCs w:val="16"/>
              </w:rPr>
            </w:pPr>
            <w:r w:rsidRPr="00781112">
              <w:rPr>
                <w:rFonts w:cs="Arial"/>
                <w:color w:val="000000" w:themeColor="text1"/>
                <w:szCs w:val="16"/>
              </w:rPr>
              <w:t>20</w:t>
            </w:r>
          </w:p>
        </w:tc>
        <w:tc>
          <w:tcPr>
            <w:tcW w:w="1231" w:type="pct"/>
            <w:shd w:val="clear" w:color="auto" w:fill="auto"/>
          </w:tcPr>
          <w:p w14:paraId="36D48FD7" w14:textId="2F6E80E6" w:rsidR="009A755E"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1254" w:type="pct"/>
            <w:shd w:val="clear" w:color="auto" w:fill="auto"/>
          </w:tcPr>
          <w:p w14:paraId="139EEFD1" w14:textId="6A5591D3" w:rsidR="009A755E" w:rsidRPr="00781112" w:rsidRDefault="002B7490" w:rsidP="00A018D4">
            <w:pPr>
              <w:jc w:val="center"/>
              <w:rPr>
                <w:rFonts w:cs="Arial"/>
                <w:color w:val="000000" w:themeColor="text1"/>
                <w:szCs w:val="16"/>
              </w:rPr>
            </w:pPr>
            <w:r w:rsidRPr="00781112">
              <w:rPr>
                <w:rFonts w:cs="Arial"/>
                <w:color w:val="000000" w:themeColor="text1"/>
                <w:szCs w:val="16"/>
              </w:rPr>
              <w:t>1</w:t>
            </w:r>
          </w:p>
        </w:tc>
      </w:tr>
    </w:tbl>
    <w:p w14:paraId="155373B8" w14:textId="06928F75" w:rsidR="009A755E" w:rsidRPr="00781112" w:rsidRDefault="00450F98" w:rsidP="004369B2">
      <w:pPr>
        <w:rPr>
          <w:color w:val="000000" w:themeColor="text1"/>
        </w:rPr>
      </w:pPr>
      <w:r>
        <w:rPr>
          <w:b/>
          <w:color w:val="000000" w:themeColor="text1"/>
        </w:rPr>
        <w:t>FFY 2020 Findings of Noncompliance Verified as Corrected</w:t>
      </w:r>
    </w:p>
    <w:p w14:paraId="3D8B0B26" w14:textId="565C69B4"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669CC58" w14:textId="38E853B3" w:rsidR="00326C0B" w:rsidRPr="00781112" w:rsidRDefault="002B7490" w:rsidP="009A755E">
      <w:pPr>
        <w:rPr>
          <w:rFonts w:cs="Arial"/>
          <w:color w:val="000000" w:themeColor="text1"/>
          <w:szCs w:val="16"/>
        </w:rPr>
      </w:pPr>
      <w:r w:rsidRPr="00781112">
        <w:rPr>
          <w:rFonts w:cs="Arial"/>
          <w:color w:val="000000" w:themeColor="text1"/>
          <w:szCs w:val="16"/>
        </w:rPr>
        <w:t xml:space="preserve">In July 2022 the OSDE-SES conducted Verification of Continuous Compliance (Prong II) procedures for FFY 2020 findings to ensure systemic compliance across each LEA for Indicator 12 data. Continuous compliance reviews are completed by a two part process: (a) reviewing FFY 2021 data for compliance and (b) using a random sampling process in which student records are randomly selected for a compliance check. If (a) all FFY 2021 records are compliant or (b) a subsequent sample of records are compliant, the LEA is resolved and removed from the compliance watch-list for the fiscal year. If resolved via (a), the LEA's findings of noncompliance are verified as corrected within one year. If resolved via (b), the LEA's findings of noncompliance are verified as subsequently corrected. If the LEA does not demonstrate 100 percent compliance via the sampling process, additional sanctions are applied and records continue to be monitored. </w:t>
      </w:r>
      <w:r w:rsidRPr="00781112">
        <w:rPr>
          <w:rFonts w:cs="Arial"/>
          <w:color w:val="000000" w:themeColor="text1"/>
          <w:szCs w:val="16"/>
        </w:rPr>
        <w:br/>
      </w:r>
      <w:r w:rsidRPr="00781112">
        <w:rPr>
          <w:rFonts w:cs="Arial"/>
          <w:color w:val="000000" w:themeColor="text1"/>
          <w:szCs w:val="16"/>
        </w:rPr>
        <w:br/>
        <w:t>To check for continuous compliance via (a) in FFY 2021, OSDE-SES used the data reported by the 23 LEAs identified for indicator 12 (SY 21-22 data). If an LEA that was noncompliant in FFY 2020 also reported noncompliance in FFY 2021, the LEA did not demonstrate that noncompliance had been corrected. If an LEA was fully compliant for indicator 12 in FFY 2021, OSDE-SES resolved that the LEA achieved 100 percent compliance within one year. 20 LEAs demonstrated full compliance in this process. 3 LEAs were noncompliant again in FFY 2021. The 3 LEAs that had additional findings of noncompliance have been required to examine their student records to determine the reason(s) for continued noncompliance. They identified SMART goals to improve problem areas and clarified internal monitoring processes and procedures and are currently receiving intensive technical assistance that included corrective action planning and root cause analysis.</w:t>
      </w:r>
      <w:r w:rsidRPr="00781112">
        <w:rPr>
          <w:rFonts w:cs="Arial"/>
          <w:color w:val="000000" w:themeColor="text1"/>
          <w:szCs w:val="16"/>
        </w:rPr>
        <w:br/>
      </w:r>
      <w:r w:rsidRPr="00781112">
        <w:rPr>
          <w:rFonts w:cs="Arial"/>
          <w:color w:val="000000" w:themeColor="text1"/>
          <w:szCs w:val="16"/>
        </w:rPr>
        <w:br/>
        <w:t>A second check for continuous compliance was conducted in fall 2022 (process (b)). An indicator-specific report was pulled from the online IEP system (in the same manner other data reviews are made) for each of the 3 LEAs identified with additional findings of non-compliance in FFY 2021. Each report included a representative, randomly-selected sample of records of students who were transitioned from Part C to Part B under IDEA in the fall of 2022. These indicator-specific reports were reviewed by OSDE-SES specialists for systemic compliance in January 2023. Two LEAs were verified as continuously compliant (100 percent compliant), and were removed from the compliance watch-list. One LEA has not yet achieved 100 percent compliance. This LEA continues to be under review, and is receiving intensive technical assistance that includes corrective action planning and root cause analysis. A third compliance review will be conducted in July 2023.</w:t>
      </w:r>
      <w:r w:rsidRPr="00781112">
        <w:rPr>
          <w:rFonts w:cs="Arial"/>
          <w:color w:val="000000" w:themeColor="text1"/>
          <w:szCs w:val="16"/>
        </w:rPr>
        <w:br/>
      </w:r>
      <w:r w:rsidRPr="00781112">
        <w:rPr>
          <w:rFonts w:cs="Arial"/>
          <w:color w:val="000000" w:themeColor="text1"/>
          <w:szCs w:val="16"/>
        </w:rPr>
        <w:br/>
        <w:t xml:space="preserve">Note: The random samples of student records selected for the prong II reviews are pulled from the LEA’s population of student records relevant to the indicator. Only records of students who turned 3 and were in transition from Part C to Part B in fall 2022 were sampled for indicator 12. OSDE-SES checked all records in LEAs with a total of 11 or fewer records that met this criterion. Otherwise, sample sizes ranged from 11 to 34, depending on the size of the LEA. The sample sizes are statistically representative, within the following assumptions: </w:t>
      </w:r>
      <w:r w:rsidRPr="00781112">
        <w:rPr>
          <w:rFonts w:cs="Arial"/>
          <w:color w:val="000000" w:themeColor="text1"/>
          <w:szCs w:val="16"/>
        </w:rPr>
        <w:br/>
        <w:t xml:space="preserve">• Margin of error of 10 percent: this is the chance of missing (not finding) noncompliance in the sample when it exists. </w:t>
      </w:r>
      <w:r w:rsidRPr="00781112">
        <w:rPr>
          <w:rFonts w:cs="Arial"/>
          <w:color w:val="000000" w:themeColor="text1"/>
          <w:szCs w:val="16"/>
        </w:rPr>
        <w:br/>
        <w:t xml:space="preserve">• Confidence level of 95 percent: this is the level of confidence that results found are true and representative. </w:t>
      </w:r>
      <w:r w:rsidRPr="00781112">
        <w:rPr>
          <w:rFonts w:cs="Arial"/>
          <w:color w:val="000000" w:themeColor="text1"/>
          <w:szCs w:val="16"/>
        </w:rPr>
        <w:br/>
        <w:t>• Expected response distribution of minimum 90 percent compliance.</w:t>
      </w:r>
    </w:p>
    <w:p w14:paraId="1F3D7853" w14:textId="324FF78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0E95D025" w14:textId="78E1AA95" w:rsidR="00326C0B" w:rsidRPr="00781112" w:rsidRDefault="002B7490" w:rsidP="009A755E">
      <w:pPr>
        <w:rPr>
          <w:rFonts w:cs="Arial"/>
          <w:color w:val="000000" w:themeColor="text1"/>
          <w:szCs w:val="16"/>
        </w:rPr>
      </w:pPr>
      <w:r w:rsidRPr="00781112">
        <w:rPr>
          <w:rFonts w:cs="Arial"/>
          <w:color w:val="000000" w:themeColor="text1"/>
          <w:szCs w:val="16"/>
        </w:rPr>
        <w:t xml:space="preserve">The OSDE-SES annually conducts monitoring activities for 100% of the State’s LEAs to determine if all LEAs are in compliance for Indicator 12. Noncompliance is identified through data submitted by LEAs through the annual June end-of-year data collection as well as specific monitoring activities such as desk audits and onsite visits. </w:t>
      </w:r>
      <w:r w:rsidRPr="00781112">
        <w:rPr>
          <w:rFonts w:cs="Arial"/>
          <w:color w:val="000000" w:themeColor="text1"/>
          <w:szCs w:val="16"/>
        </w:rPr>
        <w:br/>
      </w:r>
      <w:r w:rsidRPr="00781112">
        <w:rPr>
          <w:rFonts w:cs="Arial"/>
          <w:color w:val="000000" w:themeColor="text1"/>
          <w:szCs w:val="16"/>
        </w:rPr>
        <w:br/>
        <w:t xml:space="preserve">After analyzing data collected for Indicator 12 in June 2021, non-compliance was identified in 23 LEAs. The 23 LEAs identified as non-compliant were issued a letter of findings and required to make child-specific corrections within 30 days of receipt of the letter. All 23 LEAs were notified by November 15, 2021. Subsequently, LEAs were required to submit data showing evidence of completed documentation for identified students. The OSDE-SES reviewed eligibility and IEP documentation through the statewide online IEP system (EDPlan) in order to determine that both were completed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 </w:t>
      </w:r>
      <w:r w:rsidRPr="00781112">
        <w:rPr>
          <w:rFonts w:cs="Arial"/>
          <w:color w:val="000000" w:themeColor="text1"/>
          <w:szCs w:val="16"/>
        </w:rPr>
        <w:br/>
      </w:r>
      <w:r w:rsidRPr="00781112">
        <w:rPr>
          <w:rFonts w:cs="Arial"/>
          <w:color w:val="000000" w:themeColor="text1"/>
          <w:szCs w:val="16"/>
        </w:rPr>
        <w:br/>
        <w:t>All individual cases of noncompliance across all 23 LEAs were corrected and the records are now compliant.</w:t>
      </w:r>
    </w:p>
    <w:p w14:paraId="7B7A30C5" w14:textId="00C8B706" w:rsidR="009A755E" w:rsidRPr="00781112" w:rsidRDefault="00450F98" w:rsidP="004369B2">
      <w:pPr>
        <w:rPr>
          <w:color w:val="000000" w:themeColor="text1"/>
        </w:rPr>
      </w:pPr>
      <w:r>
        <w:rPr>
          <w:b/>
          <w:color w:val="000000" w:themeColor="text1"/>
        </w:rPr>
        <w:t>FFY 2020 Findings of Noncompliance Not Yet Verified as Corrected</w:t>
      </w:r>
    </w:p>
    <w:p w14:paraId="19ADFC5D"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4AF1FBC1" w14:textId="6016B311" w:rsidR="00326C0B" w:rsidRPr="00781112" w:rsidRDefault="002B7490" w:rsidP="009A755E">
      <w:pPr>
        <w:rPr>
          <w:rFonts w:cs="Arial"/>
          <w:color w:val="000000" w:themeColor="text1"/>
          <w:szCs w:val="16"/>
        </w:rPr>
      </w:pPr>
      <w:r w:rsidRPr="00781112">
        <w:rPr>
          <w:rFonts w:cs="Arial"/>
          <w:color w:val="000000" w:themeColor="text1"/>
          <w:szCs w:val="16"/>
        </w:rPr>
        <w:t xml:space="preserve">If noncompliance is not corrected--meaning LEAs continue to not demonstrate systemic compliance--LEAs are monitored through the differentiated monitoring process for a second consecutive year and are marked as having "longstanding noncompliance" in indicator 12 on their annual determinations. LEAs identified with continuing noncompliance must revisit their improvement plans from the prior year and review and revise to ensure compliance can be achieved. A subsequent analysis of IEPs is conducted at the end of the school year as described in the prior section ("Describe how the State verified that the source of noncompliance is correctly implementing the regulatory requirements"). </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12,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directed will be determined in consultation with the state. </w:t>
      </w:r>
      <w:r w:rsidRPr="00781112">
        <w:rPr>
          <w:rFonts w:cs="Arial"/>
          <w:color w:val="000000" w:themeColor="text1"/>
          <w:szCs w:val="16"/>
        </w:rPr>
        <w:br/>
        <w:t xml:space="preserve">o Invite parents of affected students to the school board meeting to participate in the discussions for the plan for improvement. </w:t>
      </w:r>
    </w:p>
    <w:p w14:paraId="1A909BBB" w14:textId="77777777" w:rsidR="00455889" w:rsidRPr="00781112" w:rsidRDefault="00455889" w:rsidP="004369B2">
      <w:pPr>
        <w:rPr>
          <w:color w:val="000000" w:themeColor="text1"/>
        </w:rPr>
      </w:pPr>
    </w:p>
    <w:p w14:paraId="1C75EC2F" w14:textId="4696C433" w:rsidR="009A755E" w:rsidRPr="00781112" w:rsidRDefault="00450F98" w:rsidP="004369B2">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4192A257" w14:textId="77777777" w:rsidTr="00AB0D6A">
        <w:trPr>
          <w:tblHeader/>
        </w:trPr>
        <w:tc>
          <w:tcPr>
            <w:tcW w:w="1016" w:type="pct"/>
            <w:shd w:val="clear" w:color="auto" w:fill="auto"/>
            <w:vAlign w:val="bottom"/>
          </w:tcPr>
          <w:p w14:paraId="72F29034" w14:textId="1B3341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shd w:val="clear" w:color="auto" w:fill="auto"/>
            <w:vAlign w:val="bottom"/>
          </w:tcPr>
          <w:p w14:paraId="5E92FF85" w14:textId="20F1B69A"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355" w:type="pct"/>
            <w:shd w:val="clear" w:color="auto" w:fill="auto"/>
            <w:vAlign w:val="bottom"/>
          </w:tcPr>
          <w:p w14:paraId="486169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5C0832D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04865EB" w14:textId="77777777" w:rsidTr="00AB0D6A">
        <w:tc>
          <w:tcPr>
            <w:tcW w:w="1016" w:type="pct"/>
            <w:shd w:val="clear" w:color="auto" w:fill="auto"/>
          </w:tcPr>
          <w:p w14:paraId="316ACDB5" w14:textId="541F250F" w:rsidR="009A755E" w:rsidRPr="00781112" w:rsidRDefault="009A755E" w:rsidP="00A018D4">
            <w:pPr>
              <w:jc w:val="center"/>
              <w:rPr>
                <w:rFonts w:cs="Arial"/>
                <w:color w:val="000000" w:themeColor="text1"/>
                <w:szCs w:val="16"/>
              </w:rPr>
            </w:pPr>
          </w:p>
        </w:tc>
        <w:tc>
          <w:tcPr>
            <w:tcW w:w="1360" w:type="pct"/>
            <w:shd w:val="clear" w:color="auto" w:fill="auto"/>
          </w:tcPr>
          <w:p w14:paraId="69625405" w14:textId="789965CC" w:rsidR="009A755E" w:rsidRPr="00781112" w:rsidRDefault="009A755E">
            <w:pPr>
              <w:jc w:val="center"/>
              <w:rPr>
                <w:rFonts w:cs="Arial"/>
                <w:noProof/>
                <w:color w:val="000000" w:themeColor="text1"/>
                <w:szCs w:val="16"/>
              </w:rPr>
            </w:pPr>
          </w:p>
        </w:tc>
        <w:tc>
          <w:tcPr>
            <w:tcW w:w="1355" w:type="pct"/>
            <w:shd w:val="clear" w:color="auto" w:fill="auto"/>
          </w:tcPr>
          <w:p w14:paraId="7C3E37A7" w14:textId="61202FB3" w:rsidR="009A755E" w:rsidRPr="00781112" w:rsidRDefault="009A755E">
            <w:pPr>
              <w:jc w:val="center"/>
              <w:rPr>
                <w:rFonts w:cs="Arial"/>
                <w:noProof/>
                <w:color w:val="000000" w:themeColor="text1"/>
                <w:szCs w:val="16"/>
              </w:rPr>
            </w:pPr>
          </w:p>
        </w:tc>
        <w:tc>
          <w:tcPr>
            <w:tcW w:w="1269" w:type="pct"/>
            <w:shd w:val="clear" w:color="auto" w:fill="auto"/>
          </w:tcPr>
          <w:p w14:paraId="79E9FAD3" w14:textId="3428603A" w:rsidR="009A755E" w:rsidRPr="00781112" w:rsidRDefault="009A755E">
            <w:pPr>
              <w:jc w:val="center"/>
              <w:rPr>
                <w:rFonts w:cs="Arial"/>
                <w:noProof/>
                <w:color w:val="000000" w:themeColor="text1"/>
                <w:szCs w:val="16"/>
              </w:rPr>
            </w:pPr>
          </w:p>
        </w:tc>
      </w:tr>
      <w:tr w:rsidR="005C29F8" w:rsidRPr="00781112" w14:paraId="7F75F2C7" w14:textId="77777777" w:rsidTr="00AB0D6A">
        <w:tc>
          <w:tcPr>
            <w:tcW w:w="1016" w:type="pct"/>
            <w:shd w:val="clear" w:color="auto" w:fill="auto"/>
          </w:tcPr>
          <w:p w14:paraId="147AA631" w14:textId="76843337" w:rsidR="009A755E" w:rsidRPr="00781112" w:rsidRDefault="009A755E" w:rsidP="00A018D4">
            <w:pPr>
              <w:jc w:val="center"/>
              <w:rPr>
                <w:rFonts w:cs="Arial"/>
                <w:color w:val="000000" w:themeColor="text1"/>
                <w:szCs w:val="16"/>
              </w:rPr>
            </w:pPr>
          </w:p>
        </w:tc>
        <w:tc>
          <w:tcPr>
            <w:tcW w:w="1360" w:type="pct"/>
            <w:shd w:val="clear" w:color="auto" w:fill="auto"/>
          </w:tcPr>
          <w:p w14:paraId="404653A8" w14:textId="163A8B38" w:rsidR="009A755E" w:rsidRPr="00781112" w:rsidRDefault="009A755E">
            <w:pPr>
              <w:jc w:val="center"/>
              <w:rPr>
                <w:rFonts w:cs="Arial"/>
                <w:noProof/>
                <w:color w:val="000000" w:themeColor="text1"/>
                <w:szCs w:val="16"/>
              </w:rPr>
            </w:pPr>
          </w:p>
        </w:tc>
        <w:tc>
          <w:tcPr>
            <w:tcW w:w="1355" w:type="pct"/>
            <w:shd w:val="clear" w:color="auto" w:fill="auto"/>
          </w:tcPr>
          <w:p w14:paraId="6504342A" w14:textId="13575C8A" w:rsidR="009A755E" w:rsidRPr="00781112" w:rsidRDefault="009A755E">
            <w:pPr>
              <w:jc w:val="center"/>
              <w:rPr>
                <w:rFonts w:cs="Arial"/>
                <w:noProof/>
                <w:color w:val="000000" w:themeColor="text1"/>
                <w:szCs w:val="16"/>
              </w:rPr>
            </w:pPr>
          </w:p>
        </w:tc>
        <w:tc>
          <w:tcPr>
            <w:tcW w:w="1269" w:type="pct"/>
            <w:shd w:val="clear" w:color="auto" w:fill="auto"/>
          </w:tcPr>
          <w:p w14:paraId="6D520AD1" w14:textId="4947031C" w:rsidR="009A755E" w:rsidRPr="00781112" w:rsidRDefault="009A755E">
            <w:pPr>
              <w:jc w:val="center"/>
              <w:rPr>
                <w:rFonts w:cs="Arial"/>
                <w:noProof/>
                <w:color w:val="000000" w:themeColor="text1"/>
                <w:szCs w:val="16"/>
              </w:rPr>
            </w:pPr>
          </w:p>
        </w:tc>
      </w:tr>
      <w:tr w:rsidR="005C29F8" w:rsidRPr="00781112" w14:paraId="2D4810B4" w14:textId="77777777" w:rsidTr="00AB0D6A">
        <w:tc>
          <w:tcPr>
            <w:tcW w:w="1016" w:type="pct"/>
            <w:shd w:val="clear" w:color="auto" w:fill="auto"/>
          </w:tcPr>
          <w:p w14:paraId="6AEFAA10" w14:textId="16E2E3E6" w:rsidR="009A755E" w:rsidRPr="00781112" w:rsidRDefault="009A755E" w:rsidP="00A018D4">
            <w:pPr>
              <w:jc w:val="center"/>
              <w:rPr>
                <w:rFonts w:cs="Arial"/>
                <w:color w:val="000000" w:themeColor="text1"/>
                <w:szCs w:val="16"/>
              </w:rPr>
            </w:pPr>
          </w:p>
        </w:tc>
        <w:tc>
          <w:tcPr>
            <w:tcW w:w="1360" w:type="pct"/>
            <w:shd w:val="clear" w:color="auto" w:fill="auto"/>
          </w:tcPr>
          <w:p w14:paraId="075C05B4" w14:textId="1672B0AC" w:rsidR="009A755E" w:rsidRPr="00781112" w:rsidRDefault="009A755E">
            <w:pPr>
              <w:jc w:val="center"/>
              <w:rPr>
                <w:rFonts w:cs="Arial"/>
                <w:noProof/>
                <w:color w:val="000000" w:themeColor="text1"/>
                <w:szCs w:val="16"/>
              </w:rPr>
            </w:pPr>
          </w:p>
        </w:tc>
        <w:tc>
          <w:tcPr>
            <w:tcW w:w="1355" w:type="pct"/>
            <w:shd w:val="clear" w:color="auto" w:fill="auto"/>
          </w:tcPr>
          <w:p w14:paraId="70536E6E" w14:textId="5BE8198D" w:rsidR="009A755E" w:rsidRPr="00781112" w:rsidRDefault="009A755E">
            <w:pPr>
              <w:jc w:val="center"/>
              <w:rPr>
                <w:rFonts w:cs="Arial"/>
                <w:noProof/>
                <w:color w:val="000000" w:themeColor="text1"/>
                <w:szCs w:val="16"/>
              </w:rPr>
            </w:pPr>
          </w:p>
        </w:tc>
        <w:tc>
          <w:tcPr>
            <w:tcW w:w="1269" w:type="pct"/>
            <w:shd w:val="clear" w:color="auto" w:fill="auto"/>
          </w:tcPr>
          <w:p w14:paraId="4BC059F6" w14:textId="5DCA531E" w:rsidR="009A755E" w:rsidRPr="00781112" w:rsidRDefault="009A755E">
            <w:pPr>
              <w:jc w:val="center"/>
              <w:rPr>
                <w:rFonts w:cs="Arial"/>
                <w:noProof/>
                <w:color w:val="000000" w:themeColor="text1"/>
                <w:szCs w:val="16"/>
              </w:rPr>
            </w:pPr>
          </w:p>
        </w:tc>
      </w:tr>
    </w:tbl>
    <w:p w14:paraId="2F3E7ED0" w14:textId="1BDCCC61" w:rsidR="004E2151" w:rsidRPr="00781112" w:rsidRDefault="00056350" w:rsidP="00123D76">
      <w:pPr>
        <w:pStyle w:val="Heading2"/>
      </w:pPr>
      <w:r w:rsidRPr="00781112">
        <w:t>12</w:t>
      </w:r>
      <w:r w:rsidR="004838A4" w:rsidRPr="00781112">
        <w:t xml:space="preserve"> </w:t>
      </w:r>
      <w:r w:rsidRPr="00781112">
        <w:t xml:space="preserve">- </w:t>
      </w:r>
      <w:r w:rsidR="004E2151" w:rsidRPr="00781112">
        <w:t>Prior FFY Required Actions</w:t>
      </w:r>
    </w:p>
    <w:p w14:paraId="3D03A210" w14:textId="19033EA5" w:rsidR="009F69E7"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2020, the State must report on the status of correction of noncompliance identified in FFY 2020 for this indicator. When reporting on the correction of noncompliance, the State must report, in the FFY 2021 SPP/APR, that it has verified that each LEA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2021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2020, although its FFY 2020 data reflect less than 100% compliance, provide an explanation of why the State did not identify any findings of noncompliance in FFY 2020.</w:t>
      </w:r>
    </w:p>
    <w:p w14:paraId="3F84A4E0" w14:textId="73F6FA79" w:rsidR="004E2151" w:rsidRPr="00781112" w:rsidRDefault="007639D7" w:rsidP="004369B2">
      <w:pPr>
        <w:rPr>
          <w:b/>
          <w:color w:val="000000" w:themeColor="text1"/>
        </w:rPr>
      </w:pPr>
      <w:r>
        <w:rPr>
          <w:b/>
          <w:color w:val="000000" w:themeColor="text1"/>
        </w:rPr>
        <w:t>Response to actions required in FFY 2020 SPP/APR</w:t>
      </w:r>
    </w:p>
    <w:p w14:paraId="5EB5FDCA" w14:textId="5CB823AF" w:rsidR="004E2151" w:rsidRPr="00781112" w:rsidRDefault="002B7490" w:rsidP="004E2151">
      <w:pPr>
        <w:rPr>
          <w:rFonts w:cs="Arial"/>
          <w:color w:val="000000" w:themeColor="text1"/>
          <w:szCs w:val="16"/>
        </w:rPr>
      </w:pPr>
      <w:r w:rsidRPr="00781112">
        <w:rPr>
          <w:rFonts w:cs="Arial"/>
          <w:color w:val="000000" w:themeColor="text1"/>
          <w:szCs w:val="16"/>
        </w:rPr>
        <w:t>Reporting completed as required in prior sections.</w:t>
      </w:r>
    </w:p>
    <w:p w14:paraId="29993C29" w14:textId="00995379" w:rsidR="007F5071" w:rsidRPr="00781112" w:rsidRDefault="00056350" w:rsidP="00123D76">
      <w:pPr>
        <w:pStyle w:val="Heading2"/>
      </w:pPr>
      <w:r w:rsidRPr="00781112">
        <w:t>12 - OSEP Response</w:t>
      </w:r>
    </w:p>
    <w:p w14:paraId="25E9178D" w14:textId="14A4C34F" w:rsidR="00326C0B" w:rsidRPr="00781112" w:rsidRDefault="00326C0B" w:rsidP="00212954">
      <w:pPr>
        <w:rPr>
          <w:rFonts w:cs="Arial"/>
          <w:color w:val="000000" w:themeColor="text1"/>
          <w:szCs w:val="16"/>
        </w:rPr>
      </w:pPr>
    </w:p>
    <w:p w14:paraId="06759F0A" w14:textId="1523FF35" w:rsidR="007F5071" w:rsidRPr="00781112" w:rsidRDefault="00056350" w:rsidP="00123D76">
      <w:pPr>
        <w:pStyle w:val="Heading2"/>
      </w:pPr>
      <w:r w:rsidRPr="00781112">
        <w:t>12 - Required Actions</w:t>
      </w:r>
    </w:p>
    <w:p w14:paraId="57889B20" w14:textId="73162143" w:rsidR="00326C0B"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09BE7DCF"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7517B2" w14:textId="1ECF1753" w:rsidR="00D03701" w:rsidRPr="00781112" w:rsidRDefault="00D03701" w:rsidP="000444E2">
      <w:pPr>
        <w:pStyle w:val="Heading1"/>
        <w:rPr>
          <w:color w:val="000000" w:themeColor="text1"/>
          <w:sz w:val="22"/>
        </w:rPr>
      </w:pPr>
      <w:r w:rsidRPr="00781112">
        <w:rPr>
          <w:color w:val="000000" w:themeColor="text1"/>
          <w:sz w:val="22"/>
        </w:rPr>
        <w:t>Indicator 13: Secondary Transition</w:t>
      </w:r>
    </w:p>
    <w:p w14:paraId="20F3CA53" w14:textId="77777777" w:rsidR="00D04044" w:rsidRPr="00781112" w:rsidRDefault="00D04044" w:rsidP="00A018D4">
      <w:pPr>
        <w:rPr>
          <w:color w:val="000000" w:themeColor="text1"/>
          <w:szCs w:val="20"/>
        </w:rPr>
      </w:pPr>
      <w:bookmarkStart w:id="73" w:name="_Toc384383363"/>
      <w:bookmarkStart w:id="74" w:name="_Toc392159331"/>
      <w:r w:rsidRPr="00781112">
        <w:rPr>
          <w:b/>
          <w:color w:val="000000" w:themeColor="text1"/>
          <w:sz w:val="20"/>
          <w:szCs w:val="20"/>
        </w:rPr>
        <w:t>Instructions and Measurement</w:t>
      </w:r>
    </w:p>
    <w:p w14:paraId="541AD2D1" w14:textId="15B7D425"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2098A995" w14:textId="07865850"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24167CE3" w14:textId="32AC8C8C"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1BD1BDBD" w14:textId="77777777" w:rsidR="0096257C" w:rsidRPr="00781112" w:rsidRDefault="0096257C" w:rsidP="004369B2">
      <w:pPr>
        <w:rPr>
          <w:color w:val="000000" w:themeColor="text1"/>
        </w:rPr>
      </w:pPr>
      <w:r w:rsidRPr="00781112">
        <w:rPr>
          <w:b/>
          <w:color w:val="000000" w:themeColor="text1"/>
        </w:rPr>
        <w:t>Data Source</w:t>
      </w:r>
    </w:p>
    <w:p w14:paraId="5868BA99"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4CB6F9A" w14:textId="71312CEA" w:rsidR="0096257C" w:rsidRPr="00781112" w:rsidRDefault="0096257C" w:rsidP="004369B2">
      <w:pPr>
        <w:rPr>
          <w:color w:val="000000" w:themeColor="text1"/>
        </w:rPr>
      </w:pPr>
      <w:r w:rsidRPr="00781112">
        <w:rPr>
          <w:b/>
          <w:color w:val="000000" w:themeColor="text1"/>
        </w:rPr>
        <w:t>Measurement</w:t>
      </w:r>
    </w:p>
    <w:p w14:paraId="780214FF" w14:textId="6A8C4134" w:rsidR="00B67038" w:rsidRPr="00781112" w:rsidRDefault="00B67038" w:rsidP="00286BDF">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0695051F" w14:textId="0AB8CE10" w:rsidR="00B67038" w:rsidRPr="00781112" w:rsidRDefault="00B67038" w:rsidP="00286BDF">
      <w:pPr>
        <w:rPr>
          <w:rFonts w:cs="Arial"/>
          <w:color w:val="000000" w:themeColor="text1"/>
          <w:szCs w:val="16"/>
        </w:rPr>
      </w:pPr>
      <w:r w:rsidRPr="00781112">
        <w:rPr>
          <w:rFonts w:cs="Arial"/>
          <w:color w:val="000000" w:themeColor="text1"/>
          <w:szCs w:val="16"/>
        </w:rPr>
        <w:t>If a State’s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6D498B21" w14:textId="77777777" w:rsidR="0096257C" w:rsidRPr="00781112" w:rsidRDefault="0096257C" w:rsidP="004369B2">
      <w:pPr>
        <w:rPr>
          <w:color w:val="000000" w:themeColor="text1"/>
        </w:rPr>
      </w:pPr>
      <w:r w:rsidRPr="00781112">
        <w:rPr>
          <w:b/>
          <w:color w:val="000000" w:themeColor="text1"/>
        </w:rPr>
        <w:t>Instructions</w:t>
      </w:r>
    </w:p>
    <w:p w14:paraId="7B194027"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12BF2230" w14:textId="77777777" w:rsidR="00B67038" w:rsidRPr="00781112" w:rsidRDefault="00B67038"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498F5564"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1ACBC1E2" w14:textId="77777777" w:rsidR="00B67038" w:rsidRPr="00781112" w:rsidRDefault="00B67038"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15D9CBCD" w14:textId="64F3ED90" w:rsidR="00B67038"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43E6D66A" w14:textId="21025B37" w:rsidR="00D04044" w:rsidRPr="00781112" w:rsidRDefault="00056350" w:rsidP="00123D76">
      <w:pPr>
        <w:pStyle w:val="Heading2"/>
      </w:pPr>
      <w:bookmarkStart w:id="75" w:name="_Toc384383364"/>
      <w:bookmarkStart w:id="76" w:name="_Toc392159332"/>
      <w:bookmarkEnd w:id="73"/>
      <w:bookmarkEnd w:id="74"/>
      <w:r w:rsidRPr="00781112">
        <w:t>13</w:t>
      </w:r>
      <w:r w:rsidR="004838A4" w:rsidRPr="00781112">
        <w:t xml:space="preserve"> </w:t>
      </w:r>
      <w:r w:rsidRPr="00781112">
        <w:t xml:space="preserve">- </w:t>
      </w:r>
      <w:r w:rsidR="00D04044" w:rsidRPr="00781112">
        <w:t>Indicator Data</w:t>
      </w:r>
    </w:p>
    <w:p w14:paraId="61C4C68D" w14:textId="294F0305"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03B988E1" w14:textId="77777777" w:rsidTr="00123D76">
        <w:trPr>
          <w:trHeight w:val="311"/>
          <w:tblHeader/>
        </w:trPr>
        <w:tc>
          <w:tcPr>
            <w:tcW w:w="1797" w:type="dxa"/>
          </w:tcPr>
          <w:p w14:paraId="74B6B294"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1FEDE010"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6D8D944B" w14:textId="77777777" w:rsidTr="00123D76">
        <w:trPr>
          <w:trHeight w:val="311"/>
        </w:trPr>
        <w:tc>
          <w:tcPr>
            <w:tcW w:w="1797" w:type="dxa"/>
            <w:vAlign w:val="center"/>
          </w:tcPr>
          <w:p w14:paraId="7FC4C2A7" w14:textId="00CC5CF2" w:rsidR="00694A39" w:rsidRPr="00781112" w:rsidRDefault="00694A39" w:rsidP="00123D76">
            <w:pPr>
              <w:jc w:val="center"/>
              <w:rPr>
                <w:bCs/>
                <w:color w:val="000000" w:themeColor="text1"/>
              </w:rPr>
            </w:pPr>
            <w:r w:rsidRPr="00781112">
              <w:rPr>
                <w:bCs/>
                <w:color w:val="000000" w:themeColor="text1"/>
              </w:rPr>
              <w:t>2009</w:t>
            </w:r>
          </w:p>
        </w:tc>
        <w:tc>
          <w:tcPr>
            <w:tcW w:w="1798" w:type="dxa"/>
            <w:vAlign w:val="center"/>
          </w:tcPr>
          <w:p w14:paraId="3A6C733C" w14:textId="66F52DB8" w:rsidR="00694A39" w:rsidRPr="00781112" w:rsidRDefault="00694A39" w:rsidP="00123D76">
            <w:pPr>
              <w:jc w:val="center"/>
              <w:rPr>
                <w:bCs/>
                <w:color w:val="000000" w:themeColor="text1"/>
              </w:rPr>
            </w:pPr>
            <w:r w:rsidRPr="00781112">
              <w:rPr>
                <w:bCs/>
                <w:color w:val="000000" w:themeColor="text1"/>
              </w:rPr>
              <w:t>95.21%</w:t>
            </w:r>
          </w:p>
        </w:tc>
      </w:tr>
    </w:tbl>
    <w:p w14:paraId="5733AE68"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687251DC" w14:textId="77777777" w:rsidTr="00943314">
        <w:trPr>
          <w:trHeight w:val="350"/>
        </w:trPr>
        <w:tc>
          <w:tcPr>
            <w:tcW w:w="833" w:type="pct"/>
            <w:tcBorders>
              <w:bottom w:val="single" w:sz="4" w:space="0" w:color="auto"/>
            </w:tcBorders>
            <w:shd w:val="clear" w:color="auto" w:fill="auto"/>
          </w:tcPr>
          <w:p w14:paraId="14E01593"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3A85907" w14:textId="1D9118C1" w:rsidR="009447A3"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1C6C5D54" w14:textId="213C7749"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044515B1" w14:textId="14B45245"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695DE74A" w14:textId="50B444D4"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14:paraId="527EE05E" w14:textId="3E89E5BC"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r>
      <w:tr w:rsidR="005C29F8" w:rsidRPr="00781112" w14:paraId="0A07B33E" w14:textId="77777777" w:rsidTr="00943314">
        <w:trPr>
          <w:trHeight w:val="357"/>
        </w:trPr>
        <w:tc>
          <w:tcPr>
            <w:tcW w:w="833" w:type="pct"/>
            <w:shd w:val="clear" w:color="auto" w:fill="auto"/>
          </w:tcPr>
          <w:p w14:paraId="04BB4B5A" w14:textId="3FC3EE91" w:rsidR="009447A3" w:rsidRPr="00781112" w:rsidRDefault="009447A3" w:rsidP="008E31C4">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20467ACA" w14:textId="658A99BC"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AE1489C" w14:textId="1138B82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FAB6F79" w14:textId="47FCCD56"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EE056E4" w14:textId="485E460A"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6F722BD0" w14:textId="0624413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4403D1A8" w14:textId="77777777" w:rsidTr="00943314">
        <w:trPr>
          <w:trHeight w:val="85"/>
        </w:trPr>
        <w:tc>
          <w:tcPr>
            <w:tcW w:w="833" w:type="pct"/>
            <w:shd w:val="clear" w:color="auto" w:fill="auto"/>
          </w:tcPr>
          <w:p w14:paraId="6473FB8E" w14:textId="77777777" w:rsidR="009447A3" w:rsidRPr="00781112" w:rsidRDefault="009447A3"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08672F7" w14:textId="4FDD51CC" w:rsidR="009447A3" w:rsidRPr="00781112" w:rsidRDefault="002B7490" w:rsidP="004369B2">
            <w:pPr>
              <w:jc w:val="center"/>
              <w:rPr>
                <w:rFonts w:cs="Arial"/>
                <w:color w:val="000000" w:themeColor="text1"/>
                <w:szCs w:val="16"/>
              </w:rPr>
            </w:pPr>
            <w:r w:rsidRPr="00781112">
              <w:rPr>
                <w:rFonts w:cs="Arial"/>
                <w:color w:val="000000" w:themeColor="text1"/>
                <w:szCs w:val="16"/>
              </w:rPr>
              <w:t>99.57%</w:t>
            </w:r>
          </w:p>
        </w:tc>
        <w:tc>
          <w:tcPr>
            <w:tcW w:w="833" w:type="pct"/>
            <w:shd w:val="clear" w:color="auto" w:fill="auto"/>
          </w:tcPr>
          <w:p w14:paraId="50F55BA6" w14:textId="73CC9B0F" w:rsidR="009447A3" w:rsidRPr="00781112" w:rsidRDefault="002B7490" w:rsidP="004369B2">
            <w:pPr>
              <w:jc w:val="center"/>
              <w:rPr>
                <w:rFonts w:cs="Arial"/>
                <w:color w:val="000000" w:themeColor="text1"/>
                <w:szCs w:val="16"/>
              </w:rPr>
            </w:pPr>
            <w:r w:rsidRPr="00781112">
              <w:rPr>
                <w:rFonts w:cs="Arial"/>
                <w:color w:val="000000" w:themeColor="text1"/>
                <w:szCs w:val="16"/>
              </w:rPr>
              <w:t>99.86%</w:t>
            </w:r>
          </w:p>
        </w:tc>
        <w:tc>
          <w:tcPr>
            <w:tcW w:w="833" w:type="pct"/>
            <w:tcBorders>
              <w:bottom w:val="single" w:sz="4" w:space="0" w:color="auto"/>
            </w:tcBorders>
            <w:shd w:val="clear" w:color="auto" w:fill="auto"/>
            <w:vAlign w:val="center"/>
          </w:tcPr>
          <w:p w14:paraId="6FC9DB0D" w14:textId="5188F524" w:rsidR="009447A3" w:rsidRPr="00781112" w:rsidRDefault="002B7490" w:rsidP="004369B2">
            <w:pPr>
              <w:jc w:val="center"/>
              <w:rPr>
                <w:rFonts w:cs="Arial"/>
                <w:color w:val="000000" w:themeColor="text1"/>
                <w:szCs w:val="16"/>
              </w:rPr>
            </w:pPr>
            <w:r w:rsidRPr="00781112">
              <w:rPr>
                <w:rFonts w:cs="Arial"/>
                <w:color w:val="000000" w:themeColor="text1"/>
                <w:szCs w:val="16"/>
              </w:rPr>
              <w:t>99.96%</w:t>
            </w:r>
          </w:p>
        </w:tc>
        <w:tc>
          <w:tcPr>
            <w:tcW w:w="833" w:type="pct"/>
            <w:tcBorders>
              <w:bottom w:val="single" w:sz="4" w:space="0" w:color="auto"/>
            </w:tcBorders>
            <w:shd w:val="clear" w:color="auto" w:fill="auto"/>
            <w:vAlign w:val="center"/>
          </w:tcPr>
          <w:p w14:paraId="2DE56335" w14:textId="11069C36" w:rsidR="009447A3" w:rsidRPr="00781112" w:rsidRDefault="002B7490" w:rsidP="004369B2">
            <w:pPr>
              <w:jc w:val="center"/>
              <w:rPr>
                <w:rFonts w:cs="Arial"/>
                <w:color w:val="000000" w:themeColor="text1"/>
                <w:szCs w:val="16"/>
              </w:rPr>
            </w:pPr>
            <w:r w:rsidRPr="00781112">
              <w:rPr>
                <w:rFonts w:cs="Arial"/>
                <w:color w:val="000000" w:themeColor="text1"/>
                <w:szCs w:val="16"/>
              </w:rPr>
              <w:t>99.32%</w:t>
            </w:r>
          </w:p>
        </w:tc>
        <w:tc>
          <w:tcPr>
            <w:tcW w:w="834" w:type="pct"/>
            <w:tcBorders>
              <w:bottom w:val="single" w:sz="4" w:space="0" w:color="auto"/>
            </w:tcBorders>
            <w:shd w:val="clear" w:color="auto" w:fill="auto"/>
            <w:vAlign w:val="center"/>
          </w:tcPr>
          <w:p w14:paraId="541BA7DE" w14:textId="2D80E9D8" w:rsidR="009447A3" w:rsidRPr="00781112" w:rsidRDefault="002B7490" w:rsidP="004369B2">
            <w:pPr>
              <w:jc w:val="center"/>
              <w:rPr>
                <w:rFonts w:cs="Arial"/>
                <w:color w:val="000000" w:themeColor="text1"/>
                <w:szCs w:val="16"/>
              </w:rPr>
            </w:pPr>
            <w:r w:rsidRPr="00781112">
              <w:rPr>
                <w:rFonts w:cs="Arial"/>
                <w:color w:val="000000" w:themeColor="text1"/>
                <w:szCs w:val="16"/>
              </w:rPr>
              <w:t>99.72%</w:t>
            </w:r>
          </w:p>
        </w:tc>
      </w:tr>
    </w:tbl>
    <w:p w14:paraId="30C8D33B" w14:textId="77777777" w:rsidR="00AF12E4" w:rsidRPr="00781112" w:rsidRDefault="00AF12E4" w:rsidP="004369B2">
      <w:pPr>
        <w:rPr>
          <w:color w:val="000000" w:themeColor="text1"/>
        </w:rPr>
      </w:pPr>
    </w:p>
    <w:p w14:paraId="75465A8F" w14:textId="65C77B0F" w:rsidR="007A3964" w:rsidRPr="00781112" w:rsidRDefault="007A3964" w:rsidP="004369B2">
      <w:pPr>
        <w:rPr>
          <w:color w:val="000000" w:themeColor="text1"/>
        </w:rPr>
      </w:pPr>
      <w:r w:rsidRPr="00781112">
        <w:rPr>
          <w:b/>
          <w:color w:val="000000" w:themeColor="text1"/>
        </w:rPr>
        <w:t>Targets</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5"/>
        <w:gridCol w:w="1681"/>
        <w:gridCol w:w="1679"/>
        <w:gridCol w:w="1679"/>
        <w:gridCol w:w="1679"/>
        <w:gridCol w:w="1678"/>
      </w:tblGrid>
      <w:tr w:rsidR="00B14519" w:rsidRPr="00781112" w14:paraId="75609119" w14:textId="4FD44BFE" w:rsidTr="00451D7E">
        <w:trPr>
          <w:trHeight w:val="281"/>
        </w:trPr>
        <w:tc>
          <w:tcPr>
            <w:tcW w:w="392" w:type="pct"/>
            <w:tcBorders>
              <w:bottom w:val="single" w:sz="4" w:space="0" w:color="auto"/>
            </w:tcBorders>
            <w:shd w:val="clear" w:color="auto" w:fill="auto"/>
          </w:tcPr>
          <w:p w14:paraId="270D1909" w14:textId="77777777" w:rsidR="00B14519" w:rsidRPr="00781112" w:rsidRDefault="00B14519" w:rsidP="00AF574F">
            <w:pPr>
              <w:jc w:val="center"/>
              <w:rPr>
                <w:b/>
                <w:color w:val="000000" w:themeColor="text1"/>
              </w:rPr>
            </w:pPr>
            <w:r w:rsidRPr="00781112">
              <w:rPr>
                <w:b/>
                <w:color w:val="000000" w:themeColor="text1"/>
              </w:rPr>
              <w:t>FFY</w:t>
            </w:r>
          </w:p>
        </w:tc>
        <w:tc>
          <w:tcPr>
            <w:tcW w:w="922" w:type="pct"/>
            <w:shd w:val="clear" w:color="auto" w:fill="auto"/>
            <w:vAlign w:val="center"/>
          </w:tcPr>
          <w:p w14:paraId="3C863620" w14:textId="77777777" w:rsidR="00B14519" w:rsidRPr="00781112" w:rsidRDefault="00B14519" w:rsidP="00AF574F">
            <w:pPr>
              <w:jc w:val="center"/>
              <w:rPr>
                <w:b/>
                <w:color w:val="000000" w:themeColor="text1"/>
              </w:rPr>
            </w:pPr>
            <w:r w:rsidRPr="00781112">
              <w:rPr>
                <w:b/>
                <w:color w:val="000000" w:themeColor="text1"/>
              </w:rPr>
              <w:t>2021</w:t>
            </w:r>
          </w:p>
        </w:tc>
        <w:tc>
          <w:tcPr>
            <w:tcW w:w="921" w:type="pct"/>
          </w:tcPr>
          <w:p w14:paraId="1E742631" w14:textId="024F7853" w:rsidR="00B14519" w:rsidRPr="00781112" w:rsidRDefault="00B14519" w:rsidP="00AF574F">
            <w:pPr>
              <w:jc w:val="center"/>
              <w:rPr>
                <w:b/>
                <w:color w:val="000000" w:themeColor="text1"/>
              </w:rPr>
            </w:pPr>
            <w:r w:rsidRPr="00781112">
              <w:rPr>
                <w:rFonts w:cs="Arial"/>
                <w:b/>
                <w:color w:val="000000" w:themeColor="text1"/>
                <w:szCs w:val="16"/>
              </w:rPr>
              <w:t>2022</w:t>
            </w:r>
          </w:p>
        </w:tc>
        <w:tc>
          <w:tcPr>
            <w:tcW w:w="921" w:type="pct"/>
          </w:tcPr>
          <w:p w14:paraId="68E9F440" w14:textId="3DC7BEDA" w:rsidR="00B14519" w:rsidRPr="00781112" w:rsidRDefault="00B14519" w:rsidP="00AF574F">
            <w:pPr>
              <w:jc w:val="center"/>
              <w:rPr>
                <w:b/>
                <w:color w:val="000000" w:themeColor="text1"/>
              </w:rPr>
            </w:pPr>
            <w:r w:rsidRPr="00781112">
              <w:rPr>
                <w:rFonts w:cs="Arial"/>
                <w:b/>
                <w:color w:val="000000" w:themeColor="text1"/>
                <w:szCs w:val="16"/>
              </w:rPr>
              <w:t>2023</w:t>
            </w:r>
          </w:p>
        </w:tc>
        <w:tc>
          <w:tcPr>
            <w:tcW w:w="921" w:type="pct"/>
          </w:tcPr>
          <w:p w14:paraId="724C1BE8" w14:textId="32F17B9A" w:rsidR="00B14519" w:rsidRPr="00781112" w:rsidRDefault="00B14519" w:rsidP="00AF574F">
            <w:pPr>
              <w:jc w:val="center"/>
              <w:rPr>
                <w:b/>
                <w:color w:val="000000" w:themeColor="text1"/>
              </w:rPr>
            </w:pPr>
            <w:r w:rsidRPr="00781112">
              <w:rPr>
                <w:rFonts w:cs="Arial"/>
                <w:b/>
                <w:color w:val="000000" w:themeColor="text1"/>
                <w:szCs w:val="16"/>
              </w:rPr>
              <w:t>2024</w:t>
            </w:r>
          </w:p>
        </w:tc>
        <w:tc>
          <w:tcPr>
            <w:tcW w:w="921" w:type="pct"/>
          </w:tcPr>
          <w:p w14:paraId="6CD77942" w14:textId="751F9B95" w:rsidR="00B14519" w:rsidRPr="00781112" w:rsidRDefault="00B14519" w:rsidP="00AF574F">
            <w:pPr>
              <w:jc w:val="center"/>
              <w:rPr>
                <w:b/>
                <w:color w:val="000000" w:themeColor="text1"/>
              </w:rPr>
            </w:pPr>
            <w:r w:rsidRPr="00781112">
              <w:rPr>
                <w:rFonts w:cs="Arial"/>
                <w:b/>
                <w:color w:val="000000" w:themeColor="text1"/>
                <w:szCs w:val="16"/>
              </w:rPr>
              <w:t>2025</w:t>
            </w:r>
          </w:p>
        </w:tc>
      </w:tr>
      <w:tr w:rsidR="00B14519" w:rsidRPr="00781112" w14:paraId="129EADEA" w14:textId="243BFF73" w:rsidTr="00451D7E">
        <w:trPr>
          <w:trHeight w:val="287"/>
        </w:trPr>
        <w:tc>
          <w:tcPr>
            <w:tcW w:w="392" w:type="pct"/>
            <w:shd w:val="clear" w:color="auto" w:fill="auto"/>
            <w:vAlign w:val="center"/>
          </w:tcPr>
          <w:p w14:paraId="14AB537C" w14:textId="77777777" w:rsidR="00B14519" w:rsidRPr="00781112" w:rsidRDefault="00B14519" w:rsidP="00AF574F">
            <w:pPr>
              <w:rPr>
                <w:rFonts w:cs="Arial"/>
                <w:color w:val="000000" w:themeColor="text1"/>
                <w:szCs w:val="16"/>
              </w:rPr>
            </w:pPr>
            <w:r w:rsidRPr="00781112">
              <w:rPr>
                <w:rFonts w:cs="Arial"/>
                <w:color w:val="000000" w:themeColor="text1"/>
                <w:szCs w:val="16"/>
              </w:rPr>
              <w:t xml:space="preserve">Target </w:t>
            </w:r>
          </w:p>
        </w:tc>
        <w:tc>
          <w:tcPr>
            <w:tcW w:w="922" w:type="pct"/>
            <w:shd w:val="clear" w:color="auto" w:fill="auto"/>
            <w:vAlign w:val="center"/>
          </w:tcPr>
          <w:p w14:paraId="0BAE8900" w14:textId="37E5F8C0" w:rsidR="00B14519" w:rsidRPr="00781112" w:rsidRDefault="00B14519" w:rsidP="00AF574F">
            <w:pPr>
              <w:jc w:val="center"/>
              <w:rPr>
                <w:rFonts w:cs="Arial"/>
                <w:color w:val="000000" w:themeColor="text1"/>
                <w:szCs w:val="16"/>
              </w:rPr>
            </w:pPr>
            <w:r w:rsidRPr="00781112">
              <w:rPr>
                <w:rFonts w:cs="Arial"/>
                <w:color w:val="000000" w:themeColor="text1"/>
                <w:szCs w:val="16"/>
              </w:rPr>
              <w:t>100%</w:t>
            </w:r>
          </w:p>
        </w:tc>
        <w:tc>
          <w:tcPr>
            <w:tcW w:w="921" w:type="pct"/>
          </w:tcPr>
          <w:p w14:paraId="2CC39FD1" w14:textId="0A351FA5" w:rsidR="00B14519" w:rsidRPr="00781112" w:rsidRDefault="00B14519" w:rsidP="00AF574F">
            <w:pPr>
              <w:jc w:val="center"/>
              <w:rPr>
                <w:rFonts w:cs="Arial"/>
                <w:color w:val="000000" w:themeColor="text1"/>
                <w:szCs w:val="16"/>
              </w:rPr>
            </w:pPr>
            <w:r w:rsidRPr="00781112">
              <w:rPr>
                <w:color w:val="000000" w:themeColor="text1"/>
                <w:szCs w:val="16"/>
              </w:rPr>
              <w:t>100%</w:t>
            </w:r>
          </w:p>
        </w:tc>
        <w:tc>
          <w:tcPr>
            <w:tcW w:w="921" w:type="pct"/>
          </w:tcPr>
          <w:p w14:paraId="67D6E1E0" w14:textId="00533F6B" w:rsidR="00B14519" w:rsidRPr="00781112" w:rsidRDefault="00B14519" w:rsidP="00AF574F">
            <w:pPr>
              <w:jc w:val="center"/>
              <w:rPr>
                <w:rFonts w:cs="Arial"/>
                <w:color w:val="000000" w:themeColor="text1"/>
                <w:szCs w:val="16"/>
              </w:rPr>
            </w:pPr>
            <w:r w:rsidRPr="00781112">
              <w:rPr>
                <w:color w:val="000000" w:themeColor="text1"/>
                <w:szCs w:val="16"/>
              </w:rPr>
              <w:t>100%</w:t>
            </w:r>
          </w:p>
        </w:tc>
        <w:tc>
          <w:tcPr>
            <w:tcW w:w="921" w:type="pct"/>
          </w:tcPr>
          <w:p w14:paraId="39A43D1F" w14:textId="716B9E54" w:rsidR="00B14519" w:rsidRPr="00781112" w:rsidRDefault="00B14519" w:rsidP="00AF574F">
            <w:pPr>
              <w:jc w:val="center"/>
              <w:rPr>
                <w:rFonts w:cs="Arial"/>
                <w:color w:val="000000" w:themeColor="text1"/>
                <w:szCs w:val="16"/>
              </w:rPr>
            </w:pPr>
            <w:r w:rsidRPr="00781112">
              <w:rPr>
                <w:color w:val="000000" w:themeColor="text1"/>
                <w:szCs w:val="16"/>
              </w:rPr>
              <w:t>100%</w:t>
            </w:r>
          </w:p>
        </w:tc>
        <w:tc>
          <w:tcPr>
            <w:tcW w:w="921" w:type="pct"/>
          </w:tcPr>
          <w:p w14:paraId="6CC99391" w14:textId="2FAEBC53" w:rsidR="00B14519" w:rsidRPr="00781112" w:rsidRDefault="00B14519" w:rsidP="00AF574F">
            <w:pPr>
              <w:jc w:val="center"/>
              <w:rPr>
                <w:rFonts w:cs="Arial"/>
                <w:color w:val="000000" w:themeColor="text1"/>
                <w:szCs w:val="16"/>
              </w:rPr>
            </w:pPr>
            <w:r w:rsidRPr="00781112">
              <w:rPr>
                <w:color w:val="000000" w:themeColor="text1"/>
                <w:szCs w:val="16"/>
              </w:rPr>
              <w:t>100%</w:t>
            </w:r>
          </w:p>
        </w:tc>
      </w:tr>
    </w:tbl>
    <w:p w14:paraId="2E844227" w14:textId="77777777" w:rsidR="00AF12E4" w:rsidRPr="00781112" w:rsidRDefault="00AF12E4" w:rsidP="004369B2">
      <w:pPr>
        <w:rPr>
          <w:color w:val="000000" w:themeColor="text1"/>
        </w:rPr>
      </w:pPr>
    </w:p>
    <w:bookmarkEnd w:id="75"/>
    <w:bookmarkEnd w:id="76"/>
    <w:p w14:paraId="596F7C13" w14:textId="7CEDA605" w:rsidR="00D03701" w:rsidRPr="00781112" w:rsidRDefault="0047313F" w:rsidP="004369B2">
      <w:pPr>
        <w:rPr>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3"/>
        <w:gridCol w:w="1498"/>
        <w:gridCol w:w="1372"/>
        <w:gridCol w:w="2067"/>
        <w:gridCol w:w="1232"/>
        <w:gridCol w:w="1571"/>
        <w:gridCol w:w="1517"/>
      </w:tblGrid>
      <w:tr w:rsidR="00B1652C" w:rsidRPr="00781112" w14:paraId="22208B6A" w14:textId="2EBA1D17" w:rsidTr="00A947D9">
        <w:trPr>
          <w:trHeight w:val="354"/>
          <w:tblHeader/>
        </w:trPr>
        <w:tc>
          <w:tcPr>
            <w:tcW w:w="710" w:type="pct"/>
            <w:shd w:val="clear" w:color="auto" w:fill="auto"/>
            <w:vAlign w:val="bottom"/>
          </w:tcPr>
          <w:p w14:paraId="24F7C6E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youth aged 16 and above with IEPs that contain each of the required components for secondary transition</w:t>
            </w:r>
          </w:p>
        </w:tc>
        <w:tc>
          <w:tcPr>
            <w:tcW w:w="694" w:type="pct"/>
            <w:shd w:val="clear" w:color="auto" w:fill="auto"/>
            <w:vAlign w:val="bottom"/>
          </w:tcPr>
          <w:p w14:paraId="5096A29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youth with IEPs aged 16 and above</w:t>
            </w:r>
          </w:p>
        </w:tc>
        <w:tc>
          <w:tcPr>
            <w:tcW w:w="636" w:type="pct"/>
            <w:shd w:val="clear" w:color="auto" w:fill="auto"/>
            <w:vAlign w:val="bottom"/>
          </w:tcPr>
          <w:p w14:paraId="77D0CB34" w14:textId="4406FF8F" w:rsidR="00B1652C" w:rsidRPr="006D0A52" w:rsidRDefault="00B1652C" w:rsidP="00B1652C">
            <w:pPr>
              <w:jc w:val="center"/>
              <w:rPr>
                <w:rFonts w:cs="Arial"/>
                <w:b/>
                <w:bCs/>
                <w:color w:val="000000" w:themeColor="text1"/>
                <w:szCs w:val="16"/>
              </w:rPr>
            </w:pPr>
            <w:r w:rsidRPr="006D0A52">
              <w:rPr>
                <w:b/>
                <w:bCs/>
              </w:rPr>
              <w:t>FFY 2020 Data</w:t>
            </w:r>
          </w:p>
        </w:tc>
        <w:tc>
          <w:tcPr>
            <w:tcW w:w="958" w:type="pct"/>
            <w:shd w:val="clear" w:color="auto" w:fill="auto"/>
            <w:vAlign w:val="bottom"/>
          </w:tcPr>
          <w:p w14:paraId="0E375E75" w14:textId="5B86E099" w:rsidR="00B1652C" w:rsidRPr="006D0A52" w:rsidRDefault="00B1652C" w:rsidP="00B1652C">
            <w:pPr>
              <w:jc w:val="center"/>
              <w:rPr>
                <w:rFonts w:cs="Arial"/>
                <w:b/>
                <w:bCs/>
                <w:color w:val="000000" w:themeColor="text1"/>
                <w:szCs w:val="16"/>
              </w:rPr>
            </w:pPr>
            <w:r w:rsidRPr="006D0A52">
              <w:rPr>
                <w:b/>
                <w:bCs/>
              </w:rPr>
              <w:t>FFY 2021 Target</w:t>
            </w:r>
          </w:p>
        </w:tc>
        <w:tc>
          <w:tcPr>
            <w:tcW w:w="571" w:type="pct"/>
            <w:shd w:val="clear" w:color="auto" w:fill="auto"/>
            <w:vAlign w:val="bottom"/>
          </w:tcPr>
          <w:p w14:paraId="58CCB0C1" w14:textId="60632AA4" w:rsidR="00B1652C" w:rsidRPr="006D0A52" w:rsidRDefault="00B1652C" w:rsidP="00B1652C">
            <w:pPr>
              <w:jc w:val="center"/>
              <w:rPr>
                <w:rFonts w:cs="Arial"/>
                <w:b/>
                <w:bCs/>
                <w:color w:val="000000" w:themeColor="text1"/>
                <w:szCs w:val="16"/>
              </w:rPr>
            </w:pPr>
            <w:r w:rsidRPr="006D0A52">
              <w:rPr>
                <w:b/>
                <w:bCs/>
              </w:rPr>
              <w:t>FFY 2021 Data</w:t>
            </w:r>
          </w:p>
        </w:tc>
        <w:tc>
          <w:tcPr>
            <w:tcW w:w="728" w:type="pct"/>
            <w:shd w:val="clear" w:color="auto" w:fill="auto"/>
            <w:vAlign w:val="bottom"/>
          </w:tcPr>
          <w:p w14:paraId="3A7C3260" w14:textId="5AACBA6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04" w:type="pct"/>
            <w:shd w:val="clear" w:color="auto" w:fill="auto"/>
            <w:vAlign w:val="bottom"/>
          </w:tcPr>
          <w:p w14:paraId="34FABCEB" w14:textId="119B0EB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8CC159D" w14:textId="122E5ABE" w:rsidTr="00A947D9">
        <w:trPr>
          <w:trHeight w:val="361"/>
        </w:trPr>
        <w:tc>
          <w:tcPr>
            <w:tcW w:w="710" w:type="pct"/>
            <w:shd w:val="clear" w:color="auto" w:fill="auto"/>
            <w:vAlign w:val="center"/>
          </w:tcPr>
          <w:p w14:paraId="55912D09" w14:textId="371B119A" w:rsidR="00070D9E" w:rsidRPr="00781112" w:rsidRDefault="002B7490" w:rsidP="004369B2">
            <w:pPr>
              <w:jc w:val="center"/>
              <w:rPr>
                <w:rFonts w:cs="Arial"/>
                <w:color w:val="000000" w:themeColor="text1"/>
                <w:szCs w:val="16"/>
              </w:rPr>
            </w:pPr>
            <w:r w:rsidRPr="00781112">
              <w:rPr>
                <w:rFonts w:cs="Arial"/>
                <w:color w:val="000000" w:themeColor="text1"/>
                <w:szCs w:val="16"/>
              </w:rPr>
              <w:t>25,243</w:t>
            </w:r>
          </w:p>
        </w:tc>
        <w:tc>
          <w:tcPr>
            <w:tcW w:w="694" w:type="pct"/>
            <w:shd w:val="clear" w:color="auto" w:fill="auto"/>
            <w:vAlign w:val="center"/>
          </w:tcPr>
          <w:p w14:paraId="3D798FB5" w14:textId="3B2AC314" w:rsidR="00070D9E" w:rsidRPr="00781112" w:rsidRDefault="002B7490" w:rsidP="004369B2">
            <w:pPr>
              <w:jc w:val="center"/>
              <w:rPr>
                <w:rFonts w:cs="Arial"/>
                <w:color w:val="000000" w:themeColor="text1"/>
                <w:szCs w:val="16"/>
              </w:rPr>
            </w:pPr>
            <w:r w:rsidRPr="00781112">
              <w:rPr>
                <w:rFonts w:cs="Arial"/>
                <w:color w:val="000000" w:themeColor="text1"/>
                <w:szCs w:val="16"/>
              </w:rPr>
              <w:t>25,494</w:t>
            </w:r>
          </w:p>
        </w:tc>
        <w:tc>
          <w:tcPr>
            <w:tcW w:w="636" w:type="pct"/>
            <w:shd w:val="clear" w:color="auto" w:fill="auto"/>
            <w:vAlign w:val="center"/>
          </w:tcPr>
          <w:p w14:paraId="36E1BD35" w14:textId="4F5BD8EB" w:rsidR="00070D9E" w:rsidRPr="00781112" w:rsidRDefault="002B7490" w:rsidP="004369B2">
            <w:pPr>
              <w:jc w:val="center"/>
              <w:rPr>
                <w:rFonts w:cs="Arial"/>
                <w:color w:val="000000" w:themeColor="text1"/>
                <w:szCs w:val="16"/>
              </w:rPr>
            </w:pPr>
            <w:r w:rsidRPr="00781112">
              <w:rPr>
                <w:rFonts w:cs="Arial"/>
                <w:color w:val="000000" w:themeColor="text1"/>
                <w:szCs w:val="16"/>
              </w:rPr>
              <w:t>99.72%</w:t>
            </w:r>
          </w:p>
        </w:tc>
        <w:tc>
          <w:tcPr>
            <w:tcW w:w="958" w:type="pct"/>
            <w:shd w:val="clear" w:color="auto" w:fill="auto"/>
            <w:vAlign w:val="center"/>
          </w:tcPr>
          <w:p w14:paraId="20E5284B" w14:textId="1FE0CF32"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shd w:val="clear" w:color="auto" w:fill="auto"/>
            <w:vAlign w:val="center"/>
          </w:tcPr>
          <w:p w14:paraId="55A387E5" w14:textId="6321743C" w:rsidR="00070D9E" w:rsidRPr="00781112" w:rsidRDefault="002B7490" w:rsidP="004369B2">
            <w:pPr>
              <w:jc w:val="center"/>
              <w:rPr>
                <w:rFonts w:cs="Arial"/>
                <w:color w:val="000000" w:themeColor="text1"/>
                <w:szCs w:val="16"/>
              </w:rPr>
            </w:pPr>
            <w:r w:rsidRPr="00781112">
              <w:rPr>
                <w:rFonts w:cs="Arial"/>
                <w:color w:val="000000" w:themeColor="text1"/>
                <w:szCs w:val="16"/>
              </w:rPr>
              <w:t>99.02%</w:t>
            </w:r>
          </w:p>
        </w:tc>
        <w:tc>
          <w:tcPr>
            <w:tcW w:w="728" w:type="pct"/>
            <w:shd w:val="clear" w:color="auto" w:fill="auto"/>
            <w:vAlign w:val="center"/>
          </w:tcPr>
          <w:p w14:paraId="66968C5A" w14:textId="493EB054" w:rsidR="00070D9E"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04" w:type="pct"/>
            <w:shd w:val="clear" w:color="auto" w:fill="auto"/>
            <w:vAlign w:val="center"/>
          </w:tcPr>
          <w:p w14:paraId="175BD68F" w14:textId="534B9E4D" w:rsidR="00070D9E"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1C32496" w14:textId="77777777" w:rsidR="00A5601C" w:rsidRPr="00781112" w:rsidRDefault="00070D9E">
      <w:pPr>
        <w:rPr>
          <w:b/>
          <w:color w:val="000000" w:themeColor="text1"/>
        </w:rPr>
      </w:pPr>
      <w:r w:rsidRPr="00781112">
        <w:rPr>
          <w:b/>
          <w:color w:val="000000" w:themeColor="text1"/>
        </w:rPr>
        <w:t xml:space="preserve">What is the source of the data provided for this indicator? </w:t>
      </w:r>
    </w:p>
    <w:p w14:paraId="2BFF05E7" w14:textId="7BFBE390" w:rsidR="00070D9E" w:rsidRPr="00781112" w:rsidRDefault="002B7490" w:rsidP="004369B2">
      <w:pPr>
        <w:rPr>
          <w:iCs/>
          <w:color w:val="000000" w:themeColor="text1"/>
        </w:rPr>
      </w:pPr>
      <w:r w:rsidRPr="00781112">
        <w:rPr>
          <w:iCs/>
          <w:color w:val="000000" w:themeColor="text1"/>
        </w:rPr>
        <w:t>State database that includes data for the entire reporting year</w:t>
      </w:r>
    </w:p>
    <w:p w14:paraId="68493AF0"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22E8774A" w14:textId="46B4955A" w:rsidR="00326C0B" w:rsidRPr="00781112" w:rsidRDefault="002B7490" w:rsidP="008E31C4">
      <w:pPr>
        <w:rPr>
          <w:rFonts w:cs="Arial"/>
          <w:color w:val="000000" w:themeColor="text1"/>
          <w:szCs w:val="16"/>
        </w:rPr>
      </w:pPr>
      <w:r w:rsidRPr="00781112">
        <w:rPr>
          <w:rFonts w:cs="Arial"/>
          <w:color w:val="000000" w:themeColor="text1"/>
          <w:szCs w:val="16"/>
        </w:rPr>
        <w:t>Data on secondary transition are collected through the State's online IEP system through the end of year data collection, collected on July 1 for the prior FY. Secondary transition plans are required to be completed as part of the IEP process in the online system for all students aged 16 or prior to entering 9th grade (possibly as young as 14), whichever comes first. Since an LEA cannot complete an IEP within the system without a comprehensive secondary transition plan, the SEA monitors all LEAs that had IDEA-eligible students that did not have one or more compliant IEPs as of June 30 (or prior, in some cases). These LEAs are in non-compliance with Indicator 13.</w:t>
      </w:r>
      <w:r w:rsidRPr="00781112">
        <w:rPr>
          <w:rFonts w:cs="Arial"/>
          <w:color w:val="000000" w:themeColor="text1"/>
          <w:szCs w:val="16"/>
        </w:rPr>
        <w:br/>
      </w:r>
      <w:r w:rsidRPr="00781112">
        <w:rPr>
          <w:rFonts w:cs="Arial"/>
          <w:color w:val="000000" w:themeColor="text1"/>
          <w:szCs w:val="16"/>
        </w:rPr>
        <w:br/>
        <w:t>In FFY 2022 (SY 22-23), the state has updated its expectations for this indicator and will monitor transition components for students aged 15 and older (instead of aged 16 as it has been).</w:t>
      </w:r>
    </w:p>
    <w:tbl>
      <w:tblPr>
        <w:tblStyle w:val="TableGrid"/>
        <w:tblW w:w="5000" w:type="pct"/>
        <w:tblLook w:val="04A0" w:firstRow="1" w:lastRow="0" w:firstColumn="1" w:lastColumn="0" w:noHBand="0" w:noVBand="1"/>
        <w:tblCaption w:val="B13CFFYCOLLECT"/>
      </w:tblPr>
      <w:tblGrid>
        <w:gridCol w:w="8503"/>
        <w:gridCol w:w="2287"/>
      </w:tblGrid>
      <w:tr w:rsidR="005C29F8" w:rsidRPr="00781112" w14:paraId="366D2592" w14:textId="77777777" w:rsidTr="0033429D">
        <w:trPr>
          <w:tblHeader/>
        </w:trPr>
        <w:tc>
          <w:tcPr>
            <w:tcW w:w="3940" w:type="pct"/>
          </w:tcPr>
          <w:p w14:paraId="49221B81" w14:textId="4811C153"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3C85F11D" w14:textId="67F200AD"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3EAB126" w14:textId="25879D68" w:rsidTr="00A947D9">
        <w:tc>
          <w:tcPr>
            <w:tcW w:w="3940" w:type="pct"/>
          </w:tcPr>
          <w:p w14:paraId="48B431E3" w14:textId="55B03061"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14:paraId="15F6D513" w14:textId="633CDBE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A1B7304" w14:textId="62E0E544" w:rsidTr="00A947D9">
        <w:tc>
          <w:tcPr>
            <w:tcW w:w="3940" w:type="pct"/>
          </w:tcPr>
          <w:p w14:paraId="73B3F719" w14:textId="0391FF91" w:rsidR="006B4D98" w:rsidRPr="00781112" w:rsidRDefault="00AF30E8">
            <w:pPr>
              <w:rPr>
                <w:rFonts w:cs="Arial"/>
                <w:color w:val="000000" w:themeColor="text1"/>
                <w:szCs w:val="16"/>
              </w:rPr>
            </w:pPr>
            <w:r w:rsidRPr="00781112">
              <w:rPr>
                <w:rFonts w:cs="Arial"/>
                <w:color w:val="000000" w:themeColor="text1"/>
                <w:szCs w:val="16"/>
              </w:rPr>
              <w:t>If yes, did the State choose to include youth at an age younger than 16 in its data for this indicator and ensure that its baseline data are based on youth beginning at that younger age?</w:t>
            </w:r>
          </w:p>
        </w:tc>
        <w:tc>
          <w:tcPr>
            <w:tcW w:w="1060" w:type="pct"/>
          </w:tcPr>
          <w:p w14:paraId="27A80519" w14:textId="1C51858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B31049E" w14:textId="650E5040" w:rsidTr="0033429D">
        <w:tc>
          <w:tcPr>
            <w:tcW w:w="3940" w:type="pct"/>
          </w:tcPr>
          <w:p w14:paraId="33799AB6" w14:textId="30C1CDE0" w:rsidR="00212954" w:rsidRPr="00781112" w:rsidRDefault="00212954">
            <w:pPr>
              <w:rPr>
                <w:rFonts w:cs="Arial"/>
                <w:color w:val="000000" w:themeColor="text1"/>
                <w:szCs w:val="16"/>
              </w:rPr>
            </w:pPr>
            <w:r w:rsidRPr="00781112">
              <w:rPr>
                <w:rFonts w:cs="Arial"/>
                <w:color w:val="000000" w:themeColor="text1"/>
                <w:szCs w:val="16"/>
              </w:rPr>
              <w:t>If yes, at what age are youth included in the data for this indicator</w:t>
            </w:r>
          </w:p>
        </w:tc>
        <w:tc>
          <w:tcPr>
            <w:tcW w:w="1060" w:type="pct"/>
          </w:tcPr>
          <w:p w14:paraId="7129A3DA" w14:textId="2111F324" w:rsidR="00212954" w:rsidRPr="00781112" w:rsidRDefault="002B7490" w:rsidP="00A018D4">
            <w:pPr>
              <w:jc w:val="center"/>
              <w:rPr>
                <w:rFonts w:cs="Arial"/>
                <w:color w:val="000000" w:themeColor="text1"/>
                <w:szCs w:val="16"/>
              </w:rPr>
            </w:pPr>
            <w:r w:rsidRPr="00781112">
              <w:rPr>
                <w:rFonts w:cs="Arial"/>
                <w:color w:val="000000" w:themeColor="text1"/>
                <w:szCs w:val="16"/>
              </w:rPr>
              <w:t>14</w:t>
            </w:r>
          </w:p>
        </w:tc>
      </w:tr>
    </w:tbl>
    <w:p w14:paraId="735DB55A" w14:textId="18C77FF1" w:rsidR="00644AC8" w:rsidRPr="00781112" w:rsidRDefault="00644AC8" w:rsidP="005F442C">
      <w:pPr>
        <w:rPr>
          <w:rFonts w:cs="Arial"/>
          <w:b/>
          <w:color w:val="000000" w:themeColor="text1"/>
          <w:szCs w:val="16"/>
        </w:rPr>
      </w:pPr>
      <w:bookmarkStart w:id="77" w:name="_Toc392159335"/>
      <w:r w:rsidRPr="00781112">
        <w:rPr>
          <w:rFonts w:cs="Arial"/>
          <w:b/>
          <w:color w:val="000000" w:themeColor="text1"/>
          <w:szCs w:val="16"/>
        </w:rPr>
        <w:t>Provide additional information about this indicator (optional)</w:t>
      </w:r>
    </w:p>
    <w:p w14:paraId="2F22AC76" w14:textId="5FF8D00A" w:rsidR="00326C0B" w:rsidRPr="00781112" w:rsidRDefault="00326C0B" w:rsidP="007D435F">
      <w:pPr>
        <w:rPr>
          <w:rFonts w:cs="Arial"/>
          <w:color w:val="000000" w:themeColor="text1"/>
          <w:szCs w:val="16"/>
        </w:rPr>
      </w:pPr>
    </w:p>
    <w:p w14:paraId="1F3D4141" w14:textId="77777777" w:rsidR="00AF12E4" w:rsidRPr="00781112" w:rsidRDefault="00AF12E4" w:rsidP="004369B2">
      <w:pPr>
        <w:rPr>
          <w:color w:val="000000" w:themeColor="text1"/>
        </w:rPr>
      </w:pPr>
    </w:p>
    <w:p w14:paraId="37C34CDA" w14:textId="5767C658" w:rsidR="009A755E" w:rsidRPr="00781112" w:rsidRDefault="00450F98" w:rsidP="004369B2">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13PFFYNCFINDINGS"/>
      </w:tblPr>
      <w:tblGrid>
        <w:gridCol w:w="2650"/>
        <w:gridCol w:w="2780"/>
        <w:gridCol w:w="2656"/>
        <w:gridCol w:w="2704"/>
      </w:tblGrid>
      <w:tr w:rsidR="005C29F8" w:rsidRPr="00781112" w14:paraId="6C308319" w14:textId="77777777" w:rsidTr="00A947D9">
        <w:trPr>
          <w:trHeight w:val="389"/>
          <w:tblHeader/>
        </w:trPr>
        <w:tc>
          <w:tcPr>
            <w:tcW w:w="1228" w:type="pct"/>
            <w:shd w:val="clear" w:color="auto" w:fill="auto"/>
            <w:vAlign w:val="bottom"/>
          </w:tcPr>
          <w:p w14:paraId="5A6805D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63B4B6E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6D8FBA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6D3A2F2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582DC7" w14:textId="77777777" w:rsidTr="00A947D9">
        <w:tc>
          <w:tcPr>
            <w:tcW w:w="1228" w:type="pct"/>
            <w:shd w:val="clear" w:color="auto" w:fill="auto"/>
          </w:tcPr>
          <w:p w14:paraId="1C22474D" w14:textId="5ECD77A3" w:rsidR="009A755E" w:rsidRPr="00781112" w:rsidRDefault="002B7490" w:rsidP="004369B2">
            <w:pPr>
              <w:jc w:val="center"/>
              <w:rPr>
                <w:rFonts w:cs="Arial"/>
                <w:color w:val="000000" w:themeColor="text1"/>
                <w:szCs w:val="16"/>
              </w:rPr>
            </w:pPr>
            <w:r w:rsidRPr="00781112">
              <w:rPr>
                <w:rFonts w:cs="Arial"/>
                <w:color w:val="000000" w:themeColor="text1"/>
                <w:szCs w:val="16"/>
              </w:rPr>
              <w:t>28</w:t>
            </w:r>
          </w:p>
        </w:tc>
        <w:tc>
          <w:tcPr>
            <w:tcW w:w="1288" w:type="pct"/>
            <w:shd w:val="clear" w:color="auto" w:fill="auto"/>
          </w:tcPr>
          <w:p w14:paraId="6A161A21" w14:textId="698D820A" w:rsidR="009A755E" w:rsidRPr="00781112" w:rsidRDefault="002B7490" w:rsidP="004369B2">
            <w:pPr>
              <w:jc w:val="center"/>
              <w:rPr>
                <w:rFonts w:cs="Arial"/>
                <w:color w:val="000000" w:themeColor="text1"/>
                <w:szCs w:val="16"/>
              </w:rPr>
            </w:pPr>
            <w:r w:rsidRPr="00781112">
              <w:rPr>
                <w:rFonts w:cs="Arial"/>
                <w:color w:val="000000" w:themeColor="text1"/>
                <w:szCs w:val="16"/>
              </w:rPr>
              <w:t>16</w:t>
            </w:r>
          </w:p>
        </w:tc>
        <w:tc>
          <w:tcPr>
            <w:tcW w:w="1231" w:type="pct"/>
            <w:shd w:val="clear" w:color="auto" w:fill="auto"/>
          </w:tcPr>
          <w:p w14:paraId="6CF556ED" w14:textId="6BD64A21" w:rsidR="009A755E" w:rsidRPr="00781112" w:rsidRDefault="002B7490" w:rsidP="004369B2">
            <w:pPr>
              <w:jc w:val="center"/>
              <w:rPr>
                <w:rFonts w:cs="Arial"/>
                <w:color w:val="000000" w:themeColor="text1"/>
                <w:szCs w:val="16"/>
              </w:rPr>
            </w:pPr>
            <w:r w:rsidRPr="00781112">
              <w:rPr>
                <w:rFonts w:cs="Arial"/>
                <w:color w:val="000000" w:themeColor="text1"/>
                <w:szCs w:val="16"/>
              </w:rPr>
              <w:t>7</w:t>
            </w:r>
          </w:p>
        </w:tc>
        <w:tc>
          <w:tcPr>
            <w:tcW w:w="1254" w:type="pct"/>
            <w:shd w:val="clear" w:color="auto" w:fill="auto"/>
          </w:tcPr>
          <w:p w14:paraId="1B14B45E" w14:textId="6409289E" w:rsidR="009A755E" w:rsidRPr="00781112" w:rsidRDefault="002B7490" w:rsidP="004369B2">
            <w:pPr>
              <w:jc w:val="center"/>
              <w:rPr>
                <w:rFonts w:cs="Arial"/>
                <w:color w:val="000000" w:themeColor="text1"/>
                <w:szCs w:val="16"/>
              </w:rPr>
            </w:pPr>
            <w:r w:rsidRPr="00781112">
              <w:rPr>
                <w:rFonts w:cs="Arial"/>
                <w:color w:val="000000" w:themeColor="text1"/>
                <w:szCs w:val="16"/>
              </w:rPr>
              <w:t>5</w:t>
            </w:r>
          </w:p>
        </w:tc>
      </w:tr>
    </w:tbl>
    <w:p w14:paraId="45E0E48A" w14:textId="433105F8" w:rsidR="009A755E" w:rsidRPr="00781112" w:rsidRDefault="00450F98" w:rsidP="004369B2">
      <w:pPr>
        <w:rPr>
          <w:color w:val="000000" w:themeColor="text1"/>
        </w:rPr>
      </w:pPr>
      <w:r>
        <w:rPr>
          <w:b/>
          <w:color w:val="000000" w:themeColor="text1"/>
        </w:rPr>
        <w:t>FFY 2020 Findings of Noncompliance Verified as Corrected</w:t>
      </w:r>
    </w:p>
    <w:p w14:paraId="5FAC5347" w14:textId="3A1B805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BD51D93" w14:textId="30292384" w:rsidR="00326C0B" w:rsidRPr="00781112" w:rsidRDefault="002B7490" w:rsidP="009A755E">
      <w:pPr>
        <w:rPr>
          <w:rFonts w:cs="Arial"/>
          <w:color w:val="000000" w:themeColor="text1"/>
          <w:szCs w:val="16"/>
        </w:rPr>
      </w:pPr>
      <w:r w:rsidRPr="00781112">
        <w:rPr>
          <w:rFonts w:cs="Arial"/>
          <w:color w:val="000000" w:themeColor="text1"/>
          <w:szCs w:val="16"/>
        </w:rPr>
        <w:t xml:space="preserve">In July 2022 the OSDE-SES conducted Verification of Continuous Compliance (Prong II) procedures for FFY 2020 findings to ensure systemic compliance across each LEA for Indicator 13 data. Continuous compliance reviews are completed for LEAs by a two part process: (a) reviewing FFY 2021 data for compliance and (b) using a random sampling process in which student records are randomly selected for a compliance check. If (a) all FFY 2021 records are compliant or (b) a subsequent sample of records are compliant, the LEA is resolved and removed from the compliance watch-list for the fiscal year. If resolved via (a), the LEA's findings of noncompliance are verified as corrected within one year. If resolved via (b), the LEA's findings of noncompliance are verified as subsequently corrected. If the LEA does not demonstrate 100 percent compliance via the sampling process, additional sanctions are applied and records continue to be monitored. </w:t>
      </w:r>
      <w:r w:rsidRPr="00781112">
        <w:rPr>
          <w:rFonts w:cs="Arial"/>
          <w:color w:val="000000" w:themeColor="text1"/>
          <w:szCs w:val="16"/>
        </w:rPr>
        <w:br/>
      </w:r>
      <w:r w:rsidRPr="00781112">
        <w:rPr>
          <w:rFonts w:cs="Arial"/>
          <w:color w:val="000000" w:themeColor="text1"/>
          <w:szCs w:val="16"/>
        </w:rPr>
        <w:br/>
        <w:t>To check for continuous compliance via (a) in FFY 2021, OSDE-SES used the data reported by the 28 LEAs identified for indicator 13 (SY 21-22 data). If an LEA that was noncompliant in FFY 2020 also reported noncompliance in FFY 2021, the LEA did not demonstrate that noncompliance had been corrected. If an LEA was fully compliant for indicator 13 in FFY 2021, OSDE-SES resolved that the LEA achieved 100 percent compliance within one year. 16 LEAs demonstrated full compliance in this process. 12 LEAs were noncompliant again in FFY 2021. The 12 LEAs that had additional findings of noncompliance have been required to examine their student records to determine the reason(s) for continued noncompliance. They identified SMART goals to improve problem areas and clarified internal monitoring processes and procedures and are currently receiving intensive technical assistance that included corrective action planning and root cause analysis.</w:t>
      </w:r>
      <w:r w:rsidRPr="00781112">
        <w:rPr>
          <w:rFonts w:cs="Arial"/>
          <w:color w:val="000000" w:themeColor="text1"/>
          <w:szCs w:val="16"/>
        </w:rPr>
        <w:br/>
      </w:r>
      <w:r w:rsidRPr="00781112">
        <w:rPr>
          <w:rFonts w:cs="Arial"/>
          <w:color w:val="000000" w:themeColor="text1"/>
          <w:szCs w:val="16"/>
        </w:rPr>
        <w:br/>
        <w:t>A second check for continuous compliance was conducted in winter 2022 (process (b)). An indicator-specific report was pulled from the online IEP system (in the same manner other data reviews are made) for each of the 12 LEAs identified with additional findings of non-compliance in FFY 2021. Each report included a representative, randomly-selected sample of records of secondary students with IEPs. These indicator-specific reports were reviewed by OSDE-SES specialists for systemic compliance in January 2023. Seven LEA was verified as continuously compliant (100 percent compliant), and was removed from the compliance watch-list. Five LEAs have not yet achieved 100 percent compliance. These five continue to be under review, and are receiving intensive technical assistance that includes corrective action planning and root cause analysis. A third compliance review will be conducted in July 2023.</w:t>
      </w:r>
      <w:r w:rsidRPr="00781112">
        <w:rPr>
          <w:rFonts w:cs="Arial"/>
          <w:color w:val="000000" w:themeColor="text1"/>
          <w:szCs w:val="16"/>
        </w:rPr>
        <w:br/>
      </w:r>
      <w:r w:rsidRPr="00781112">
        <w:rPr>
          <w:rFonts w:cs="Arial"/>
          <w:color w:val="000000" w:themeColor="text1"/>
          <w:szCs w:val="16"/>
        </w:rPr>
        <w:br/>
        <w:t xml:space="preserve">Note: The random samples of student records selected for the prong II reviews are pulled from the LEA’s population of student records relevant to the indicator. Only records of active secondary students with IEPs (aged 15 to 21) due in fall 2022 were sampled for indicator 13. OSDE-SES checked all records in LEAs with a total of 11 or fewer records that met this criterion. Otherwise, sample sizes ranged from 11 to 34, depending on the size of the LEA. The sample sizes are statistically representative, within the following assumptions: </w:t>
      </w:r>
      <w:r w:rsidRPr="00781112">
        <w:rPr>
          <w:rFonts w:cs="Arial"/>
          <w:color w:val="000000" w:themeColor="text1"/>
          <w:szCs w:val="16"/>
        </w:rPr>
        <w:br/>
        <w:t xml:space="preserve">• Margin of error of 10 percent: this is the chance of missing (not finding) noncompliance in the sample when it exists. </w:t>
      </w:r>
      <w:r w:rsidRPr="00781112">
        <w:rPr>
          <w:rFonts w:cs="Arial"/>
          <w:color w:val="000000" w:themeColor="text1"/>
          <w:szCs w:val="16"/>
        </w:rPr>
        <w:br/>
        <w:t xml:space="preserve">• Confidence level of 95 percent: this is the level of confidence that results found are true and representative. </w:t>
      </w:r>
      <w:r w:rsidRPr="00781112">
        <w:rPr>
          <w:rFonts w:cs="Arial"/>
          <w:color w:val="000000" w:themeColor="text1"/>
          <w:szCs w:val="16"/>
        </w:rPr>
        <w:br/>
        <w:t>• Expected response distribution of minimum 90 percent compliance.</w:t>
      </w:r>
    </w:p>
    <w:p w14:paraId="580C3804" w14:textId="4C173B5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CC9D0C9" w14:textId="1A1AB4E7" w:rsidR="00326C0B" w:rsidRPr="00781112" w:rsidRDefault="002B7490" w:rsidP="009A755E">
      <w:pPr>
        <w:rPr>
          <w:rFonts w:cs="Arial"/>
          <w:color w:val="000000" w:themeColor="text1"/>
          <w:szCs w:val="16"/>
        </w:rPr>
      </w:pPr>
      <w:r w:rsidRPr="00781112">
        <w:rPr>
          <w:rFonts w:cs="Arial"/>
          <w:color w:val="000000" w:themeColor="text1"/>
          <w:szCs w:val="16"/>
        </w:rPr>
        <w:t>The OSDE-SES annually conducts monitoring activities for 100% of the State’s LEAs to determine if all LEAs are in compliance for Indicator 13. Noncompliance is identified through data submitted by LEAs through the annual June end-of-year data collection as well as specific monitoring activities such as desk audits and onsite visits. All active high school student records are reviewed. A sample is not conducted for annual compliance.</w:t>
      </w:r>
      <w:r w:rsidRPr="00781112">
        <w:rPr>
          <w:rFonts w:cs="Arial"/>
          <w:color w:val="000000" w:themeColor="text1"/>
          <w:szCs w:val="16"/>
        </w:rPr>
        <w:br/>
      </w:r>
      <w:r w:rsidRPr="00781112">
        <w:rPr>
          <w:rFonts w:cs="Arial"/>
          <w:color w:val="000000" w:themeColor="text1"/>
          <w:szCs w:val="16"/>
        </w:rPr>
        <w:br/>
        <w:t xml:space="preserve">After analyzing data collected for Indicator 13 in June 2021, noncompliance was identified in 28 LEAs. The 28 LEAs identified as noncompliant were issued a letter of findings and required to make child-specific corrections within 30 days of receipt of the letter. All 28 LEAs were notified by November 15, 2021. Subsequently, LEAs were required to submit data showing evidence of completed documentation for identified students. The OSDE-SES reviewed IEP documentation through the statewide online IEP system (EDPlan) in order to determine that they were completed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 </w:t>
      </w:r>
      <w:r w:rsidRPr="00781112">
        <w:rPr>
          <w:rFonts w:cs="Arial"/>
          <w:color w:val="000000" w:themeColor="text1"/>
          <w:szCs w:val="16"/>
        </w:rPr>
        <w:br/>
      </w:r>
      <w:r w:rsidRPr="00781112">
        <w:rPr>
          <w:rFonts w:cs="Arial"/>
          <w:color w:val="000000" w:themeColor="text1"/>
          <w:szCs w:val="16"/>
        </w:rPr>
        <w:br/>
        <w:t>The 28 LEAs identified as being noncompliant have since demonstrated that they have corrected child specific (Prong I) noncompliance.</w:t>
      </w:r>
    </w:p>
    <w:p w14:paraId="00A491DA" w14:textId="4ABED96E" w:rsidR="009A755E" w:rsidRPr="00781112" w:rsidRDefault="00450F98" w:rsidP="004369B2">
      <w:pPr>
        <w:rPr>
          <w:color w:val="000000" w:themeColor="text1"/>
        </w:rPr>
      </w:pPr>
      <w:r>
        <w:rPr>
          <w:b/>
          <w:color w:val="000000" w:themeColor="text1"/>
        </w:rPr>
        <w:t>FFY 2020 Findings of Noncompliance Not Yet Verified as Corrected</w:t>
      </w:r>
    </w:p>
    <w:p w14:paraId="447C0C1F"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703DE59F" w14:textId="396EA4B0" w:rsidR="00326C0B" w:rsidRPr="00781112" w:rsidRDefault="002B7490" w:rsidP="009A755E">
      <w:pPr>
        <w:rPr>
          <w:rFonts w:cs="Arial"/>
          <w:color w:val="000000" w:themeColor="text1"/>
          <w:szCs w:val="16"/>
        </w:rPr>
      </w:pPr>
      <w:r w:rsidRPr="00781112">
        <w:rPr>
          <w:rFonts w:cs="Arial"/>
          <w:color w:val="000000" w:themeColor="text1"/>
          <w:szCs w:val="16"/>
        </w:rPr>
        <w:t xml:space="preserve">If noncompliance is not corrected--meaning LEAs continue to not demonstrate systemic compliance--LEAs are monitored through the differentiated monitoring process for a second consecutive year and are marked as having "longstanding noncompliance" in indicator 13 on their annual determinations. LEAs identified with continuing noncompliance must revisit their improvement plans from the prior year and review and revise to ensure compliance can be achieved. A subsequent analysis of IEPs is conducted at the end of the school year--as described in the prior section ("Describe how the State verified that the source of noncompliance is correctly implementing the regulatory requirements"). </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13 ,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directed will be determined in consultation with the state. </w:t>
      </w:r>
      <w:r w:rsidRPr="00781112">
        <w:rPr>
          <w:rFonts w:cs="Arial"/>
          <w:color w:val="000000" w:themeColor="text1"/>
          <w:szCs w:val="16"/>
        </w:rPr>
        <w:br/>
        <w:t xml:space="preserve">o Invite parents of affected students to the school board meeting to participate in the discussions for the plan for improvement. </w:t>
      </w:r>
    </w:p>
    <w:p w14:paraId="09CD9C74" w14:textId="77777777" w:rsidR="00A947D9" w:rsidRPr="00781112" w:rsidRDefault="00A947D9" w:rsidP="004369B2">
      <w:pPr>
        <w:rPr>
          <w:color w:val="000000" w:themeColor="text1"/>
        </w:rPr>
      </w:pPr>
    </w:p>
    <w:p w14:paraId="59FD8363" w14:textId="16A81EBD" w:rsidR="009A755E" w:rsidRPr="00781112" w:rsidRDefault="00450F98" w:rsidP="004369B2">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1C8DDFE9" w14:textId="77777777" w:rsidTr="00A947D9">
        <w:trPr>
          <w:tblHeader/>
        </w:trPr>
        <w:tc>
          <w:tcPr>
            <w:tcW w:w="988" w:type="pct"/>
            <w:shd w:val="clear" w:color="auto" w:fill="auto"/>
            <w:vAlign w:val="bottom"/>
          </w:tcPr>
          <w:p w14:paraId="6DA65F9A" w14:textId="186CEF1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22AE93B4" w14:textId="4AB000F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317" w:type="pct"/>
            <w:shd w:val="clear" w:color="auto" w:fill="auto"/>
            <w:vAlign w:val="bottom"/>
          </w:tcPr>
          <w:p w14:paraId="1E65248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2936209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DF4458C" w14:textId="77777777" w:rsidTr="00A947D9">
        <w:tc>
          <w:tcPr>
            <w:tcW w:w="988" w:type="pct"/>
            <w:shd w:val="clear" w:color="auto" w:fill="auto"/>
          </w:tcPr>
          <w:p w14:paraId="09D39BF4" w14:textId="12080EC7" w:rsidR="009A755E" w:rsidRPr="00781112" w:rsidRDefault="002B7490" w:rsidP="00A018D4">
            <w:pPr>
              <w:jc w:val="center"/>
              <w:rPr>
                <w:rFonts w:cs="Arial"/>
                <w:color w:val="000000" w:themeColor="text1"/>
                <w:szCs w:val="16"/>
              </w:rPr>
            </w:pPr>
            <w:r w:rsidRPr="00781112">
              <w:rPr>
                <w:rFonts w:cs="Arial"/>
                <w:color w:val="000000" w:themeColor="text1"/>
                <w:szCs w:val="16"/>
              </w:rPr>
              <w:t>FFY 2019</w:t>
            </w:r>
          </w:p>
        </w:tc>
        <w:tc>
          <w:tcPr>
            <w:tcW w:w="1461" w:type="pct"/>
            <w:shd w:val="clear" w:color="auto" w:fill="auto"/>
          </w:tcPr>
          <w:p w14:paraId="16129CDC" w14:textId="4ECB3EAC" w:rsidR="009A755E" w:rsidRPr="00781112" w:rsidRDefault="002B7490">
            <w:pPr>
              <w:jc w:val="center"/>
              <w:rPr>
                <w:rFonts w:cs="Arial"/>
                <w:noProof/>
                <w:color w:val="000000" w:themeColor="text1"/>
                <w:szCs w:val="16"/>
              </w:rPr>
            </w:pPr>
            <w:r w:rsidRPr="00781112">
              <w:rPr>
                <w:rFonts w:cs="Arial"/>
                <w:color w:val="000000" w:themeColor="text1"/>
                <w:szCs w:val="16"/>
              </w:rPr>
              <w:t>6</w:t>
            </w:r>
          </w:p>
        </w:tc>
        <w:tc>
          <w:tcPr>
            <w:tcW w:w="1317" w:type="pct"/>
            <w:shd w:val="clear" w:color="auto" w:fill="auto"/>
          </w:tcPr>
          <w:p w14:paraId="631866C2" w14:textId="7A733589" w:rsidR="009A755E" w:rsidRPr="00781112" w:rsidRDefault="002B7490">
            <w:pPr>
              <w:jc w:val="center"/>
              <w:rPr>
                <w:rFonts w:cs="Arial"/>
                <w:noProof/>
                <w:color w:val="000000" w:themeColor="text1"/>
                <w:szCs w:val="16"/>
              </w:rPr>
            </w:pPr>
            <w:r w:rsidRPr="00781112">
              <w:rPr>
                <w:rFonts w:cs="Arial"/>
                <w:color w:val="000000" w:themeColor="text1"/>
                <w:szCs w:val="16"/>
              </w:rPr>
              <w:t>3</w:t>
            </w:r>
          </w:p>
        </w:tc>
        <w:tc>
          <w:tcPr>
            <w:tcW w:w="1234" w:type="pct"/>
            <w:shd w:val="clear" w:color="auto" w:fill="auto"/>
          </w:tcPr>
          <w:p w14:paraId="3A2AFB37" w14:textId="4D254CD3" w:rsidR="009A755E" w:rsidRPr="00781112" w:rsidRDefault="002B7490">
            <w:pPr>
              <w:jc w:val="center"/>
              <w:rPr>
                <w:rFonts w:cs="Arial"/>
                <w:noProof/>
                <w:color w:val="000000" w:themeColor="text1"/>
                <w:szCs w:val="16"/>
              </w:rPr>
            </w:pPr>
            <w:r w:rsidRPr="00781112">
              <w:rPr>
                <w:rFonts w:cs="Arial"/>
                <w:color w:val="000000" w:themeColor="text1"/>
                <w:szCs w:val="16"/>
              </w:rPr>
              <w:t>3</w:t>
            </w:r>
          </w:p>
        </w:tc>
      </w:tr>
      <w:tr w:rsidR="005C29F8" w:rsidRPr="00781112" w14:paraId="22754C03" w14:textId="77777777" w:rsidTr="00A947D9">
        <w:tc>
          <w:tcPr>
            <w:tcW w:w="988" w:type="pct"/>
            <w:shd w:val="clear" w:color="auto" w:fill="auto"/>
          </w:tcPr>
          <w:p w14:paraId="3F1CDA29" w14:textId="16C6A591" w:rsidR="009A755E" w:rsidRPr="00781112" w:rsidRDefault="009A755E" w:rsidP="00A018D4">
            <w:pPr>
              <w:jc w:val="center"/>
              <w:rPr>
                <w:rFonts w:cs="Arial"/>
                <w:color w:val="000000" w:themeColor="text1"/>
                <w:szCs w:val="16"/>
              </w:rPr>
            </w:pPr>
          </w:p>
        </w:tc>
        <w:tc>
          <w:tcPr>
            <w:tcW w:w="1461" w:type="pct"/>
            <w:shd w:val="clear" w:color="auto" w:fill="auto"/>
          </w:tcPr>
          <w:p w14:paraId="50EA299D" w14:textId="70FCF876" w:rsidR="009A755E" w:rsidRPr="00781112" w:rsidRDefault="009A755E">
            <w:pPr>
              <w:jc w:val="center"/>
              <w:rPr>
                <w:rFonts w:cs="Arial"/>
                <w:noProof/>
                <w:color w:val="000000" w:themeColor="text1"/>
                <w:szCs w:val="16"/>
              </w:rPr>
            </w:pPr>
          </w:p>
        </w:tc>
        <w:tc>
          <w:tcPr>
            <w:tcW w:w="1317" w:type="pct"/>
            <w:shd w:val="clear" w:color="auto" w:fill="auto"/>
          </w:tcPr>
          <w:p w14:paraId="424B5A41" w14:textId="57F0D24B" w:rsidR="009A755E" w:rsidRPr="00781112" w:rsidRDefault="009A755E">
            <w:pPr>
              <w:jc w:val="center"/>
              <w:rPr>
                <w:rFonts w:cs="Arial"/>
                <w:noProof/>
                <w:color w:val="000000" w:themeColor="text1"/>
                <w:szCs w:val="16"/>
              </w:rPr>
            </w:pPr>
          </w:p>
        </w:tc>
        <w:tc>
          <w:tcPr>
            <w:tcW w:w="1234" w:type="pct"/>
            <w:shd w:val="clear" w:color="auto" w:fill="auto"/>
          </w:tcPr>
          <w:p w14:paraId="5FD250DE" w14:textId="1F07D8E0" w:rsidR="009A755E" w:rsidRPr="00781112" w:rsidRDefault="009A755E">
            <w:pPr>
              <w:jc w:val="center"/>
              <w:rPr>
                <w:rFonts w:cs="Arial"/>
                <w:noProof/>
                <w:color w:val="000000" w:themeColor="text1"/>
                <w:szCs w:val="16"/>
              </w:rPr>
            </w:pPr>
          </w:p>
        </w:tc>
      </w:tr>
      <w:tr w:rsidR="005C29F8" w:rsidRPr="00781112" w14:paraId="1554C3DE" w14:textId="77777777" w:rsidTr="00A947D9">
        <w:tc>
          <w:tcPr>
            <w:tcW w:w="988" w:type="pct"/>
            <w:shd w:val="clear" w:color="auto" w:fill="auto"/>
          </w:tcPr>
          <w:p w14:paraId="08F1D022" w14:textId="2DEB05AF" w:rsidR="009A755E" w:rsidRPr="00781112" w:rsidRDefault="009A755E" w:rsidP="00A018D4">
            <w:pPr>
              <w:jc w:val="center"/>
              <w:rPr>
                <w:rFonts w:cs="Arial"/>
                <w:color w:val="000000" w:themeColor="text1"/>
                <w:szCs w:val="16"/>
              </w:rPr>
            </w:pPr>
          </w:p>
        </w:tc>
        <w:tc>
          <w:tcPr>
            <w:tcW w:w="1461" w:type="pct"/>
            <w:shd w:val="clear" w:color="auto" w:fill="auto"/>
          </w:tcPr>
          <w:p w14:paraId="3FCA4EF1" w14:textId="25DC21F7" w:rsidR="009A755E" w:rsidRPr="00781112" w:rsidRDefault="009A755E">
            <w:pPr>
              <w:jc w:val="center"/>
              <w:rPr>
                <w:rFonts w:cs="Arial"/>
                <w:noProof/>
                <w:color w:val="000000" w:themeColor="text1"/>
                <w:szCs w:val="16"/>
              </w:rPr>
            </w:pPr>
          </w:p>
        </w:tc>
        <w:tc>
          <w:tcPr>
            <w:tcW w:w="1317" w:type="pct"/>
            <w:shd w:val="clear" w:color="auto" w:fill="auto"/>
          </w:tcPr>
          <w:p w14:paraId="4F433BEE" w14:textId="401E2469" w:rsidR="009A755E" w:rsidRPr="00781112" w:rsidRDefault="009A755E">
            <w:pPr>
              <w:jc w:val="center"/>
              <w:rPr>
                <w:rFonts w:cs="Arial"/>
                <w:noProof/>
                <w:color w:val="000000" w:themeColor="text1"/>
                <w:szCs w:val="16"/>
              </w:rPr>
            </w:pPr>
          </w:p>
        </w:tc>
        <w:tc>
          <w:tcPr>
            <w:tcW w:w="1234" w:type="pct"/>
            <w:shd w:val="clear" w:color="auto" w:fill="auto"/>
          </w:tcPr>
          <w:p w14:paraId="615F0522" w14:textId="27A5AF36" w:rsidR="009A755E" w:rsidRPr="00781112" w:rsidRDefault="009A755E">
            <w:pPr>
              <w:jc w:val="center"/>
              <w:rPr>
                <w:rFonts w:cs="Arial"/>
                <w:noProof/>
                <w:color w:val="000000" w:themeColor="text1"/>
                <w:szCs w:val="16"/>
              </w:rPr>
            </w:pPr>
          </w:p>
        </w:tc>
      </w:tr>
    </w:tbl>
    <w:p w14:paraId="34C4ECD4" w14:textId="2FF7BB06" w:rsidR="009A221D" w:rsidRPr="00781112" w:rsidRDefault="009A221D" w:rsidP="004369B2">
      <w:pPr>
        <w:rPr>
          <w:rFonts w:cs="Arial"/>
          <w:b/>
          <w:bCs/>
          <w:color w:val="000000" w:themeColor="text1"/>
          <w:szCs w:val="16"/>
        </w:rPr>
      </w:pPr>
      <w:r w:rsidRPr="00781112">
        <w:rPr>
          <w:rFonts w:cs="Arial"/>
          <w:b/>
          <w:bCs/>
          <w:color w:val="000000" w:themeColor="text1"/>
          <w:szCs w:val="16"/>
        </w:rPr>
        <w:t>FFY 2019</w:t>
      </w:r>
    </w:p>
    <w:p w14:paraId="6FEADF4E" w14:textId="1A3F6E48" w:rsidR="009A755E" w:rsidRPr="00781112" w:rsidRDefault="009A755E" w:rsidP="004369B2">
      <w:pPr>
        <w:rPr>
          <w:color w:val="000000" w:themeColor="text1"/>
        </w:rPr>
      </w:pPr>
      <w:r w:rsidRPr="00781112">
        <w:rPr>
          <w:b/>
          <w:color w:val="000000" w:themeColor="text1"/>
        </w:rPr>
        <w:t>Findings of Noncompliance Verified as Corrected</w:t>
      </w:r>
    </w:p>
    <w:p w14:paraId="2085B45D" w14:textId="324D034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41D79F1F" w14:textId="0E767476" w:rsidR="00293C7E" w:rsidRPr="00781112" w:rsidRDefault="002B7490" w:rsidP="009A755E">
      <w:pPr>
        <w:rPr>
          <w:rFonts w:cs="Arial"/>
          <w:color w:val="000000" w:themeColor="text1"/>
          <w:szCs w:val="16"/>
        </w:rPr>
      </w:pPr>
      <w:r w:rsidRPr="00781112">
        <w:rPr>
          <w:rFonts w:cs="Arial"/>
          <w:color w:val="000000" w:themeColor="text1"/>
          <w:szCs w:val="16"/>
        </w:rPr>
        <w:t>In the FFY 2020 SPP/APR submission, six LEAs continued to be under review for noncompliance from FFY 2019. The LEAs received continuing intensive technical assistance that included required corrective action planning and root cause analysis, and the LEAs had to develop targeted plans focused on improving compliance on Indicator 3. The LEAs were considered non-compliant in FFY 2020 because continuous compliance was not demonstrated during the prong 2 reviews. These LEAs had to resolve child-specific findings of noncompliance for FFY 2020, also.</w:t>
      </w:r>
      <w:r w:rsidRPr="00781112">
        <w:rPr>
          <w:rFonts w:cs="Arial"/>
          <w:color w:val="000000" w:themeColor="text1"/>
          <w:szCs w:val="16"/>
        </w:rPr>
        <w:br/>
      </w:r>
      <w:r w:rsidRPr="00781112">
        <w:rPr>
          <w:rFonts w:cs="Arial"/>
          <w:color w:val="000000" w:themeColor="text1"/>
          <w:szCs w:val="16"/>
        </w:rPr>
        <w:br/>
        <w:t>In subsequent data reviews using the same sampling procedures described earlier, three of the six LEAs demonstrated 100 percent compliance. Three were found to have noncompliant records and continue to be under review in FFY 2021.</w:t>
      </w:r>
    </w:p>
    <w:p w14:paraId="609FD34E" w14:textId="4F837FE0"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 xml:space="preserve">individual case </w:t>
      </w:r>
      <w:r w:rsidRPr="00781112">
        <w:rPr>
          <w:rFonts w:cs="Arial"/>
          <w:b/>
          <w:color w:val="000000" w:themeColor="text1"/>
          <w:szCs w:val="16"/>
        </w:rPr>
        <w:t>of noncompliance was corrected</w:t>
      </w:r>
    </w:p>
    <w:p w14:paraId="00792EB5" w14:textId="0C273C84" w:rsidR="00293C7E" w:rsidRPr="00781112" w:rsidRDefault="002B7490" w:rsidP="009A755E">
      <w:pPr>
        <w:rPr>
          <w:rFonts w:cs="Arial"/>
          <w:color w:val="000000" w:themeColor="text1"/>
          <w:szCs w:val="16"/>
        </w:rPr>
      </w:pPr>
      <w:r w:rsidRPr="00781112">
        <w:rPr>
          <w:rFonts w:cs="Arial"/>
          <w:color w:val="000000" w:themeColor="text1"/>
          <w:szCs w:val="16"/>
        </w:rPr>
        <w:t xml:space="preserve">LEAs were required to submit data showing evidence of completed documentation for identified students. The OSDE-SES reviewed IEP documentation through the statewide online IEP system (EDPlan) in order to determine that IEPs were completed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 </w:t>
      </w:r>
      <w:r w:rsidRPr="00781112">
        <w:rPr>
          <w:rFonts w:cs="Arial"/>
          <w:color w:val="000000" w:themeColor="text1"/>
          <w:szCs w:val="16"/>
        </w:rPr>
        <w:br/>
      </w:r>
      <w:r w:rsidRPr="00781112">
        <w:rPr>
          <w:rFonts w:cs="Arial"/>
          <w:color w:val="000000" w:themeColor="text1"/>
          <w:szCs w:val="16"/>
        </w:rPr>
        <w:br/>
        <w:t>All LEAs identified as non-compliant have since demonstrated that they have corrected all individual cases of noncompliance in FFY 2020.</w:t>
      </w:r>
    </w:p>
    <w:p w14:paraId="348820A9" w14:textId="77777777" w:rsidR="009A221D" w:rsidRPr="00781112" w:rsidRDefault="009A221D" w:rsidP="009A221D">
      <w:pPr>
        <w:rPr>
          <w:rFonts w:cs="Arial"/>
          <w:b/>
          <w:bCs/>
          <w:color w:val="000000" w:themeColor="text1"/>
          <w:szCs w:val="16"/>
        </w:rPr>
      </w:pPr>
      <w:r w:rsidRPr="00781112">
        <w:rPr>
          <w:rFonts w:cs="Arial"/>
          <w:b/>
          <w:bCs/>
          <w:color w:val="000000" w:themeColor="text1"/>
          <w:szCs w:val="16"/>
        </w:rPr>
        <w:t>FFY 2019</w:t>
      </w:r>
    </w:p>
    <w:p w14:paraId="026AE221" w14:textId="51187DDE" w:rsidR="009A755E" w:rsidRPr="00781112" w:rsidRDefault="009A755E" w:rsidP="004369B2">
      <w:pPr>
        <w:rPr>
          <w:color w:val="000000" w:themeColor="text1"/>
        </w:rPr>
      </w:pPr>
      <w:r w:rsidRPr="00781112">
        <w:rPr>
          <w:b/>
          <w:color w:val="000000" w:themeColor="text1"/>
        </w:rPr>
        <w:t>Findings of Noncompliance Not Yet Verified as Corrected</w:t>
      </w:r>
    </w:p>
    <w:p w14:paraId="5971BC64"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7F193F4B" w14:textId="77777777" w:rsidR="001E7916" w:rsidRPr="00781112" w:rsidRDefault="001E7916" w:rsidP="001E7916">
      <w:pPr>
        <w:rPr>
          <w:rFonts w:cs="Arial"/>
          <w:color w:val="000000" w:themeColor="text1"/>
          <w:szCs w:val="16"/>
        </w:rPr>
      </w:pPr>
      <w:r w:rsidRPr="00781112">
        <w:rPr>
          <w:rFonts w:cs="Arial"/>
          <w:color w:val="000000" w:themeColor="text1"/>
          <w:szCs w:val="16"/>
        </w:rPr>
        <w:t xml:space="preserve">If noncompliance is not corrected--meaning LEAs continue to not demonstrate systemic compliance--LEAs are monitored through the differentiated monitoring process for a second consecutive year and are marked as having "longstanding noncompliance" in indicator 13 on their annual determinations. LEAs identified with continuing noncompliance must revisit their improvement plans from the prior year and review and revise to ensure compliance can be achieved. A subsequent analysis of IEPs is conducted at the end of the school year--as described in the prior section ("Describe how the State verified that the source of noncompliance is correctly implementing the regulatory requirements"). </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13 ,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directed will be determined in consultation with the state. </w:t>
      </w:r>
      <w:r w:rsidRPr="00781112">
        <w:rPr>
          <w:rFonts w:cs="Arial"/>
          <w:color w:val="000000" w:themeColor="text1"/>
          <w:szCs w:val="16"/>
        </w:rPr>
        <w:br/>
        <w:t xml:space="preserve">o Invite parents of affected students to the school board meeting to participate in the discussions for the plan for improvement. </w:t>
      </w:r>
    </w:p>
    <w:p w14:paraId="0764B6D1" w14:textId="7BF666C6" w:rsidR="004E2151" w:rsidRPr="00781112" w:rsidRDefault="00056350" w:rsidP="00123D76">
      <w:pPr>
        <w:pStyle w:val="Heading2"/>
      </w:pPr>
      <w:r w:rsidRPr="00781112">
        <w:t>13</w:t>
      </w:r>
      <w:r w:rsidR="001D508D" w:rsidRPr="00781112">
        <w:t xml:space="preserve"> </w:t>
      </w:r>
      <w:r w:rsidRPr="00781112">
        <w:t xml:space="preserve">- </w:t>
      </w:r>
      <w:r w:rsidR="004E2151" w:rsidRPr="00781112">
        <w:t>Prior FFY Required Actions</w:t>
      </w:r>
    </w:p>
    <w:p w14:paraId="3DC62C2B" w14:textId="341FD615" w:rsidR="004E2151"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2020, the State must report on the status of correction of noncompliance identified in FFY 2020 for this indicator. In addition, the State must demonstrate, in the FFY 2021 SPP/APR, that the remaining 6 uncorrected findings of noncompliance identified in FFY 2019 were corrected.  </w:t>
      </w:r>
      <w:r w:rsidRPr="00781112">
        <w:rPr>
          <w:rFonts w:cs="Arial"/>
          <w:color w:val="000000" w:themeColor="text1"/>
          <w:szCs w:val="16"/>
        </w:rPr>
        <w:br/>
      </w:r>
      <w:r w:rsidRPr="00781112">
        <w:rPr>
          <w:rFonts w:cs="Arial"/>
          <w:color w:val="000000" w:themeColor="text1"/>
          <w:szCs w:val="16"/>
        </w:rPr>
        <w:br/>
        <w:t xml:space="preserve">When reporting on the correction of noncompliance, the State must report, in the FFY 2021 SPP/APR, that it has verified that each LEA with findings of noncompliance identified in FFY 2020 and each LEA with remaining noncompliance identified in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2021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2020, although its FFY 2020 data reflect less than 100% compliance, provide an explanation of why the State did not identify any findings of noncompliance in FFY 2020.</w:t>
      </w:r>
    </w:p>
    <w:p w14:paraId="6FDC964C" w14:textId="7C7EE16F" w:rsidR="009F69E7" w:rsidRPr="00781112" w:rsidRDefault="009F69E7" w:rsidP="004E2151">
      <w:pPr>
        <w:rPr>
          <w:rFonts w:cs="Arial"/>
          <w:color w:val="000000" w:themeColor="text1"/>
          <w:szCs w:val="16"/>
        </w:rPr>
      </w:pPr>
    </w:p>
    <w:p w14:paraId="769948F5" w14:textId="5D21E86F" w:rsidR="004E2151" w:rsidRPr="00781112" w:rsidRDefault="007639D7" w:rsidP="004369B2">
      <w:pPr>
        <w:rPr>
          <w:b/>
          <w:color w:val="000000" w:themeColor="text1"/>
        </w:rPr>
      </w:pPr>
      <w:r>
        <w:rPr>
          <w:b/>
          <w:color w:val="000000" w:themeColor="text1"/>
        </w:rPr>
        <w:t>Response to actions required in FFY 2020 SPP/APR</w:t>
      </w:r>
    </w:p>
    <w:p w14:paraId="18FDD3C1" w14:textId="77777777" w:rsidR="009F69E7" w:rsidRPr="00781112" w:rsidRDefault="002B7490" w:rsidP="004E2151">
      <w:pPr>
        <w:rPr>
          <w:rFonts w:cs="Arial"/>
          <w:color w:val="000000" w:themeColor="text1"/>
          <w:szCs w:val="16"/>
        </w:rPr>
      </w:pPr>
      <w:r w:rsidRPr="00781112">
        <w:rPr>
          <w:rFonts w:cs="Arial"/>
          <w:color w:val="000000" w:themeColor="text1"/>
          <w:szCs w:val="16"/>
        </w:rPr>
        <w:t>Reporting completed as required in prior sections.</w:t>
      </w:r>
    </w:p>
    <w:p w14:paraId="310A49DA" w14:textId="36D1B81C" w:rsidR="007F5071" w:rsidRPr="00781112" w:rsidRDefault="00056350" w:rsidP="00123D76">
      <w:pPr>
        <w:pStyle w:val="Heading2"/>
      </w:pPr>
      <w:r w:rsidRPr="00781112">
        <w:t>13 - OSEP Response</w:t>
      </w:r>
    </w:p>
    <w:p w14:paraId="55757593" w14:textId="79413C8B" w:rsidR="00293C7E" w:rsidRPr="00781112" w:rsidRDefault="00293C7E" w:rsidP="00212954">
      <w:pPr>
        <w:rPr>
          <w:rFonts w:cs="Arial"/>
          <w:color w:val="000000" w:themeColor="text1"/>
          <w:szCs w:val="16"/>
        </w:rPr>
      </w:pPr>
    </w:p>
    <w:p w14:paraId="139D82E4" w14:textId="2690DF84" w:rsidR="007F5071" w:rsidRPr="00781112" w:rsidRDefault="00056350" w:rsidP="00123D76">
      <w:pPr>
        <w:pStyle w:val="Heading2"/>
      </w:pPr>
      <w:r w:rsidRPr="00781112">
        <w:t>13 - Required Actions</w:t>
      </w:r>
    </w:p>
    <w:p w14:paraId="3AC05AE9" w14:textId="66211D68" w:rsidR="00293C7E"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2021, the State must report on the status of correction of noncompliance identified in FFY 2021 for this indicator. In addition, the State must demonstrate, in the FFY 2022 SPP/APR, that the remaining five uncorrected findings of noncompliance identified in FFY 2020 and the remaining three findings of noncompliance identified in FFY 2019 were corrected.  </w:t>
      </w:r>
      <w:r w:rsidRPr="00781112">
        <w:rPr>
          <w:rFonts w:cs="Arial"/>
          <w:color w:val="000000" w:themeColor="text1"/>
          <w:szCs w:val="16"/>
        </w:rPr>
        <w:br/>
      </w:r>
      <w:r w:rsidRPr="00781112">
        <w:rPr>
          <w:rFonts w:cs="Arial"/>
          <w:color w:val="000000" w:themeColor="text1"/>
          <w:szCs w:val="16"/>
        </w:rPr>
        <w:br/>
        <w:t xml:space="preserve">When reporting on the correction of noncompliance, the State must report, in the FFY 2022 SPP/APR, that it has verified that each LEA with findings of noncompliance identified in FFY 2021 and each LEA with remaining noncompliance identified in FFY 2020 and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2D88F5D3"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BE48297" w14:textId="049A8FC3" w:rsidR="00B3462E" w:rsidRPr="00781112" w:rsidRDefault="00B3462E" w:rsidP="000444E2">
      <w:pPr>
        <w:pStyle w:val="Heading1"/>
        <w:rPr>
          <w:color w:val="000000" w:themeColor="text1"/>
          <w:sz w:val="22"/>
        </w:rPr>
      </w:pPr>
      <w:r w:rsidRPr="00781112">
        <w:rPr>
          <w:color w:val="000000" w:themeColor="text1"/>
          <w:sz w:val="22"/>
        </w:rPr>
        <w:t>Indicator 14: Post-School Outcomes</w:t>
      </w:r>
      <w:bookmarkEnd w:id="77"/>
    </w:p>
    <w:p w14:paraId="22761492" w14:textId="77777777" w:rsidR="005C50DB" w:rsidRPr="00781112" w:rsidRDefault="005C50DB" w:rsidP="00A018D4">
      <w:pPr>
        <w:rPr>
          <w:szCs w:val="20"/>
        </w:rPr>
      </w:pPr>
      <w:bookmarkStart w:id="78" w:name="_Toc392159336"/>
      <w:r w:rsidRPr="00781112">
        <w:rPr>
          <w:b/>
          <w:sz w:val="20"/>
          <w:szCs w:val="20"/>
        </w:rPr>
        <w:t>Instructions and Measurement</w:t>
      </w:r>
    </w:p>
    <w:p w14:paraId="3872DE81" w14:textId="173DF04F"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29CEDA40" w14:textId="10BE3AE6"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7F97857D" w14:textId="783928AC"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72E90E1C" w14:textId="0FC21DC4"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71CF3231" w14:textId="0CA0669B"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34C582E7" w14:textId="77777777" w:rsidR="001F3A65" w:rsidRPr="00781112" w:rsidRDefault="001F3A65" w:rsidP="005F442C">
      <w:pPr>
        <w:rPr>
          <w:rFonts w:cs="Arial"/>
          <w:szCs w:val="16"/>
        </w:rPr>
      </w:pPr>
      <w:r w:rsidRPr="00781112">
        <w:rPr>
          <w:rFonts w:cs="Arial"/>
          <w:szCs w:val="16"/>
        </w:rPr>
        <w:t>(20 U.S.C. 1416(a)(3)(B))</w:t>
      </w:r>
    </w:p>
    <w:p w14:paraId="48D4CA91" w14:textId="77777777" w:rsidR="00B67038" w:rsidRPr="00781112" w:rsidRDefault="00B67038" w:rsidP="004369B2">
      <w:r w:rsidRPr="00781112">
        <w:rPr>
          <w:b/>
        </w:rPr>
        <w:t>Data Source</w:t>
      </w:r>
    </w:p>
    <w:p w14:paraId="266BF2FF" w14:textId="7EC5F0A3" w:rsidR="00B67038" w:rsidRPr="00781112" w:rsidRDefault="00B67038" w:rsidP="005F442C">
      <w:pPr>
        <w:rPr>
          <w:rFonts w:cs="Arial"/>
          <w:szCs w:val="16"/>
        </w:rPr>
      </w:pPr>
      <w:r w:rsidRPr="00781112">
        <w:rPr>
          <w:rFonts w:cs="Arial"/>
          <w:szCs w:val="16"/>
        </w:rPr>
        <w:t>State selected data source.</w:t>
      </w:r>
    </w:p>
    <w:p w14:paraId="1655DDB5" w14:textId="4F072B5B" w:rsidR="00B67038" w:rsidRPr="00781112" w:rsidRDefault="00B67038" w:rsidP="004369B2">
      <w:r w:rsidRPr="00781112">
        <w:rPr>
          <w:b/>
        </w:rPr>
        <w:t>Measurement</w:t>
      </w:r>
    </w:p>
    <w:p w14:paraId="0B074DD3"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2414D87" w14:textId="01962ED5"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0E47FE86" w14:textId="3EAC7580"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20442BDD" w14:textId="77777777" w:rsidR="00B67038" w:rsidRPr="00781112" w:rsidRDefault="00B67038" w:rsidP="004369B2">
      <w:r w:rsidRPr="00781112">
        <w:rPr>
          <w:b/>
        </w:rPr>
        <w:t>Instructions</w:t>
      </w:r>
    </w:p>
    <w:p w14:paraId="4987E862" w14:textId="77777777"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on page 2 for additional instructions on sampling.)</w:t>
      </w:r>
    </w:p>
    <w:p w14:paraId="7DEAD51C" w14:textId="2775E89A" w:rsidR="00B67038" w:rsidRPr="00781112" w:rsidRDefault="003A4027" w:rsidP="003A4027">
      <w:pPr>
        <w:spacing w:before="0" w:after="210"/>
        <w:rPr>
          <w:rFonts w:eastAsia="Times New Roman" w:cs="Arial"/>
          <w:szCs w:val="16"/>
        </w:rPr>
      </w:pPr>
      <w:r w:rsidRPr="00781112">
        <w:rPr>
          <w:rFonts w:eastAsia="Times New Roman" w:cs="Arial"/>
          <w:szCs w:val="16"/>
        </w:rPr>
        <w:t>Collect data by September 2022 on students who left school during 2020-2021, timing the data collection so that at least one year has passed since the students left school. Include students who dropped out during 2020-2021 or who were expected to return but did not return for the current school year. This includes all youth who had an IEP in effect at the time they left school, including those who graduated with a regular diploma or some other credential, dropped out, or aged out.</w:t>
      </w:r>
    </w:p>
    <w:p w14:paraId="34FE8763"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239CB051" w14:textId="357D0921"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(four or more year program) for at least one complete term, at any time in the year since leaving high school.</w:t>
      </w:r>
    </w:p>
    <w:p w14:paraId="4D24D49D" w14:textId="70217398"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18FD65ED"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4C3BF53C" w14:textId="4E5C90D1" w:rsidR="00B67038" w:rsidRPr="00781112" w:rsidRDefault="00B67038" w:rsidP="002D597B">
      <w:pPr>
        <w:spacing w:before="0"/>
        <w:rPr>
          <w:rFonts w:eastAsia="Times New Roman" w:cs="Arial"/>
          <w:szCs w:val="16"/>
        </w:rPr>
      </w:pPr>
      <w:r w:rsidRPr="00781112">
        <w:rPr>
          <w:rFonts w:eastAsia="Times New Roman" w:cs="Arial"/>
          <w:szCs w:val="16"/>
        </w:rPr>
        <w:t>Option 2: States report in alignment with the term “competitive integrated employment” and its definition, in section 7(5) of the Rehabilitation Act of 1973, as amended by Workforce Innovation and Opportunity Act (WIOA).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333BEB38" w14:textId="039F8C06" w:rsidR="00B67038" w:rsidRPr="00781112" w:rsidRDefault="00B67038" w:rsidP="003A4027">
      <w:pPr>
        <w:spacing w:before="0" w:after="0"/>
        <w:rPr>
          <w:rFonts w:eastAsia="Times New Roman" w:cs="Arial"/>
          <w:b/>
          <w:bCs/>
          <w:szCs w:val="16"/>
        </w:rPr>
      </w:pPr>
    </w:p>
    <w:p w14:paraId="1CBB96D1" w14:textId="18D4158D"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639590BD" w14:textId="0A54B9D3"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 etc.).</w:t>
      </w:r>
    </w:p>
    <w:p w14:paraId="6F699AAF" w14:textId="77777777" w:rsidR="00A45E9F" w:rsidRPr="00781112" w:rsidRDefault="00A45E9F" w:rsidP="003A4027">
      <w:pPr>
        <w:spacing w:before="0"/>
        <w:rPr>
          <w:rFonts w:eastAsia="Times New Roman" w:cs="Arial"/>
          <w:szCs w:val="16"/>
        </w:rPr>
      </w:pPr>
    </w:p>
    <w:p w14:paraId="7BDE8111"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46BA4A98"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73CC7B43" w14:textId="77777777" w:rsidR="003B692F" w:rsidRPr="00781112" w:rsidRDefault="003B692F" w:rsidP="003B692F">
      <w:pPr>
        <w:spacing w:before="0" w:after="0"/>
        <w:rPr>
          <w:rFonts w:eastAsia="Times New Roman" w:cs="Arial"/>
          <w:szCs w:val="16"/>
        </w:rPr>
      </w:pPr>
      <w:r w:rsidRPr="00781112">
        <w:rPr>
          <w:rFonts w:eastAsia="Times New Roman" w:cs="Arial"/>
          <w:szCs w:val="16"/>
        </w:rPr>
        <w:t>Provide the total number of targeted youth in the sample or census.</w:t>
      </w:r>
    </w:p>
    <w:p w14:paraId="220A6449" w14:textId="50017A86"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03B608C9" w14:textId="51223E67" w:rsidR="00B67038" w:rsidRPr="00781112" w:rsidRDefault="006C58FD" w:rsidP="006A01BD">
      <w:pPr>
        <w:spacing w:before="0" w:after="0"/>
        <w:ind w:left="432"/>
        <w:rPr>
          <w:rFonts w:eastAsia="Times New Roman" w:cs="Arial"/>
          <w:szCs w:val="16"/>
        </w:rPr>
      </w:pPr>
      <w:r w:rsidRPr="00781112">
        <w:rPr>
          <w:rFonts w:eastAsia="Times New Roman" w:cs="Arial"/>
          <w:szCs w:val="16"/>
        </w:rPr>
        <w:tab/>
        <w:t>1. Enrolled in higher education within one year of leaving high school;</w:t>
      </w:r>
    </w:p>
    <w:p w14:paraId="797BA656" w14:textId="599F8145"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
    <w:p w14:paraId="17A92E9A" w14:textId="38C95AA9" w:rsidR="00B67038" w:rsidRPr="00781112" w:rsidRDefault="006C58FD" w:rsidP="00856B0E">
      <w:pPr>
        <w:spacing w:before="0" w:after="0"/>
        <w:ind w:left="720"/>
        <w:rPr>
          <w:rFonts w:eastAsia="Times New Roman" w:cs="Arial"/>
          <w:szCs w:val="16"/>
        </w:rPr>
      </w:pPr>
      <w:r w:rsidRPr="00781112">
        <w:rPr>
          <w:rFonts w:eastAsia="Times New Roman" w:cs="Arial"/>
          <w:szCs w:val="16"/>
        </w:rPr>
        <w:t>3. Enrolled in some other postsecondary education or training program within one year of leaving high school (but not enrolled in higher education or competitively employed);</w:t>
      </w:r>
    </w:p>
    <w:p w14:paraId="506D7913" w14:textId="6D55FB4B"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32C672D4" w14:textId="77777777" w:rsidR="006C58FD" w:rsidRPr="00781112" w:rsidRDefault="006C58FD" w:rsidP="00B67038">
      <w:pPr>
        <w:spacing w:before="0"/>
        <w:ind w:left="432"/>
        <w:rPr>
          <w:rFonts w:eastAsia="Times New Roman" w:cs="Arial"/>
          <w:szCs w:val="16"/>
        </w:rPr>
      </w:pPr>
    </w:p>
    <w:p w14:paraId="12CAB169" w14:textId="34F2A4F0"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4A3EA80C" w14:textId="61D64FB4"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2021 SPP/APR, compare the FFY 2021 response rate to the FFY 2020 response rate), and describe strategies that will be implemented which are expected to increase the response rate year over year, particularly for those groups that are underrepresented.</w:t>
      </w:r>
    </w:p>
    <w:p w14:paraId="5BAE56A4" w14:textId="0E46D158"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1B5E439E" w14:textId="77777777" w:rsidR="00A45E9F" w:rsidRPr="00781112" w:rsidRDefault="00A45E9F" w:rsidP="00360DD6">
      <w:pPr>
        <w:spacing w:before="0"/>
        <w:rPr>
          <w:rFonts w:eastAsia="Times New Roman" w:cs="Arial"/>
          <w:szCs w:val="16"/>
        </w:rPr>
      </w:pPr>
    </w:p>
    <w:p w14:paraId="0504C504" w14:textId="1B4B7E8B"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2306E2F3"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5A3D5C77"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A: For purposes of reporting on the measures/indicators, please note that any youth enrolled in an institution of higher education (that meets any definition of this term in the Higher Education Act (HEA)) within one year of leaving high school must be reported under measure A. This could include youth who also happen to be competitively employed, or in some other training program; however, the key outcome we are interested in here is enrollment in higher education.</w:t>
      </w:r>
    </w:p>
    <w:p w14:paraId="7F113969"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52D47ED5" w14:textId="76A8EB3A" w:rsidR="00B67038"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5D1C94BB" w14:textId="44727F96" w:rsidR="00DF5951" w:rsidRPr="006D5DC4" w:rsidRDefault="00DF5951" w:rsidP="003A4027">
      <w:pPr>
        <w:spacing w:before="0" w:after="210"/>
      </w:pPr>
      <w:bookmarkStart w:id="79" w:name="_Hlk116647998"/>
      <w:r>
        <w:t>Beginning with the FFY 2021 SPP/APR, due February 1, 2023, include the State’s analysis of the extent to which the response data are representative of the demographics of youth who are no longer in secondary school and had IEPs in effect at the time they left school. States must include race/ethnicity in their analysis. In addition, the State’s analysis must include at least one of the following demographics:</w:t>
      </w:r>
      <w:r w:rsidR="00F24C95">
        <w:t xml:space="preserve"> disability category, gender, geographic location, and/or another demographic category approved through the stakeholder input process. 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bookmarkEnd w:id="79"/>
    <w:p w14:paraId="3FE9961A" w14:textId="1EDBA086" w:rsidR="000301BA" w:rsidRPr="00781112" w:rsidRDefault="00172058" w:rsidP="00123D76">
      <w:pPr>
        <w:pStyle w:val="Heading2"/>
      </w:pPr>
      <w:r w:rsidRPr="00781112">
        <w:t>14 - Indicator Data</w:t>
      </w:r>
    </w:p>
    <w:bookmarkEnd w:id="78"/>
    <w:p w14:paraId="373EDCC8"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866"/>
        <w:gridCol w:w="1693"/>
        <w:gridCol w:w="833"/>
        <w:gridCol w:w="1480"/>
        <w:gridCol w:w="1480"/>
        <w:gridCol w:w="1480"/>
        <w:gridCol w:w="1480"/>
        <w:gridCol w:w="1478"/>
      </w:tblGrid>
      <w:tr w:rsidR="005C29F8" w:rsidRPr="00781112" w14:paraId="23017209"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shd w:val="clear" w:color="auto" w:fill="auto"/>
          </w:tcPr>
          <w:p w14:paraId="01A8BBA7" w14:textId="09A1D650"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133A4B9" w14:textId="6C60B813"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54329BE"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2CA54FD7" w14:textId="7E2CC703"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2016</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5CF4C1A5" w14:textId="184560DA"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2017</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4B5CF47" w14:textId="3E5885FF"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2018</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3DDDA5B1" w14:textId="0E359AEC"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7B2A5B67" w14:textId="00166B91"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2020</w:t>
            </w:r>
          </w:p>
        </w:tc>
      </w:tr>
      <w:tr w:rsidR="005C29F8" w:rsidRPr="00781112" w14:paraId="083B463F" w14:textId="77777777" w:rsidTr="00C37CAE">
        <w:trPr>
          <w:trHeight w:val="70"/>
        </w:trPr>
        <w:tc>
          <w:tcPr>
            <w:tcW w:w="190" w:type="pct"/>
            <w:tcBorders>
              <w:top w:val="single" w:sz="4" w:space="0" w:color="auto"/>
              <w:left w:val="single" w:sz="4" w:space="0" w:color="auto"/>
              <w:right w:val="single" w:sz="4" w:space="0" w:color="auto"/>
            </w:tcBorders>
            <w:shd w:val="clear" w:color="auto" w:fill="auto"/>
            <w:vAlign w:val="center"/>
          </w:tcPr>
          <w:p w14:paraId="0980813D"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shd w:val="clear" w:color="auto" w:fill="auto"/>
          </w:tcPr>
          <w:p w14:paraId="21EABCF5" w14:textId="1AD6B491" w:rsidR="005F442C"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FB488" w14:textId="55829AC6"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039DA1B9" w14:textId="441A6795"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151E14A" w14:textId="4DA0C6F7"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D3CBEBB" w14:textId="1729C879" w:rsidR="005F442C" w:rsidRPr="00781112" w:rsidRDefault="002B7490" w:rsidP="00A018D4">
            <w:pPr>
              <w:jc w:val="center"/>
              <w:rPr>
                <w:rFonts w:cs="Arial"/>
                <w:color w:val="000000" w:themeColor="text1"/>
                <w:szCs w:val="16"/>
              </w:rPr>
            </w:pPr>
            <w:r w:rsidRPr="00781112">
              <w:rPr>
                <w:rFonts w:cs="Arial"/>
                <w:color w:val="000000" w:themeColor="text1"/>
                <w:szCs w:val="16"/>
              </w:rPr>
              <w:t>32.75%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6DE686" w14:textId="15B31522" w:rsidR="005F442C" w:rsidRPr="00781112" w:rsidRDefault="002B7490" w:rsidP="00A018D4">
            <w:pPr>
              <w:jc w:val="center"/>
              <w:rPr>
                <w:rFonts w:cs="Arial"/>
                <w:color w:val="000000" w:themeColor="text1"/>
                <w:szCs w:val="16"/>
              </w:rPr>
            </w:pPr>
            <w:r w:rsidRPr="00781112">
              <w:rPr>
                <w:rFonts w:cs="Arial"/>
                <w:color w:val="000000" w:themeColor="text1"/>
                <w:szCs w:val="16"/>
              </w:rPr>
              <w:t>32.75%</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9316D4F" w14:textId="0095C778" w:rsidR="005F442C" w:rsidRPr="00781112" w:rsidRDefault="002B7490" w:rsidP="00A018D4">
            <w:pPr>
              <w:jc w:val="center"/>
              <w:rPr>
                <w:rFonts w:cs="Arial"/>
                <w:color w:val="000000" w:themeColor="text1"/>
                <w:szCs w:val="16"/>
              </w:rPr>
            </w:pPr>
            <w:r w:rsidRPr="00781112">
              <w:rPr>
                <w:rFonts w:cs="Arial"/>
                <w:color w:val="000000" w:themeColor="text1"/>
                <w:szCs w:val="16"/>
              </w:rPr>
              <w:t>20.00%</w:t>
            </w:r>
          </w:p>
        </w:tc>
      </w:tr>
      <w:tr w:rsidR="005C29F8" w:rsidRPr="00781112" w14:paraId="4DFAA88C" w14:textId="77777777" w:rsidTr="00C37CAE">
        <w:trPr>
          <w:trHeight w:val="85"/>
        </w:trPr>
        <w:tc>
          <w:tcPr>
            <w:tcW w:w="190" w:type="pct"/>
            <w:tcBorders>
              <w:left w:val="single" w:sz="4" w:space="0" w:color="auto"/>
              <w:right w:val="single" w:sz="4" w:space="0" w:color="auto"/>
            </w:tcBorders>
            <w:shd w:val="clear" w:color="auto" w:fill="auto"/>
          </w:tcPr>
          <w:p w14:paraId="65028A7E" w14:textId="6CD117ED"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shd w:val="clear" w:color="auto" w:fill="auto"/>
          </w:tcPr>
          <w:p w14:paraId="2D87F90A" w14:textId="5AE78B73" w:rsidR="005F442C" w:rsidRPr="00781112" w:rsidRDefault="002B7490" w:rsidP="00A018D4">
            <w:pPr>
              <w:jc w:val="center"/>
              <w:rPr>
                <w:rFonts w:cs="Arial"/>
                <w:color w:val="000000" w:themeColor="text1"/>
                <w:szCs w:val="16"/>
              </w:rPr>
            </w:pPr>
            <w:r w:rsidRPr="00781112">
              <w:rPr>
                <w:rFonts w:cs="Arial"/>
                <w:color w:val="000000" w:themeColor="text1"/>
                <w:szCs w:val="16"/>
              </w:rPr>
              <w:t>20.02%</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9B25F" w14:textId="7777777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ECDA20" w14:textId="748C8CB2" w:rsidR="005F442C" w:rsidRPr="00781112" w:rsidRDefault="002B7490" w:rsidP="00A018D4">
            <w:pPr>
              <w:jc w:val="center"/>
              <w:rPr>
                <w:rFonts w:cs="Arial"/>
                <w:color w:val="000000" w:themeColor="text1"/>
                <w:szCs w:val="16"/>
              </w:rPr>
            </w:pPr>
            <w:r w:rsidRPr="00781112">
              <w:rPr>
                <w:rFonts w:cs="Arial"/>
                <w:color w:val="000000" w:themeColor="text1"/>
                <w:szCs w:val="16"/>
              </w:rPr>
              <w:t>22.32%</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1A78E1E2" w14:textId="126BA5B7" w:rsidR="005F442C" w:rsidRPr="00781112" w:rsidRDefault="002B7490" w:rsidP="00A018D4">
            <w:pPr>
              <w:jc w:val="center"/>
              <w:rPr>
                <w:rFonts w:cs="Arial"/>
                <w:color w:val="000000" w:themeColor="text1"/>
                <w:szCs w:val="16"/>
              </w:rPr>
            </w:pPr>
            <w:r w:rsidRPr="00781112">
              <w:rPr>
                <w:rFonts w:cs="Arial"/>
                <w:color w:val="000000" w:themeColor="text1"/>
                <w:szCs w:val="16"/>
              </w:rPr>
              <w:t>24.56%</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A7E5014" w14:textId="76B4842F" w:rsidR="005F442C" w:rsidRPr="00781112" w:rsidRDefault="002B7490" w:rsidP="00A018D4">
            <w:pPr>
              <w:jc w:val="center"/>
              <w:rPr>
                <w:rFonts w:cs="Arial"/>
                <w:color w:val="000000" w:themeColor="text1"/>
                <w:szCs w:val="16"/>
              </w:rPr>
            </w:pPr>
            <w:r w:rsidRPr="00781112">
              <w:rPr>
                <w:rFonts w:cs="Arial"/>
                <w:color w:val="000000" w:themeColor="text1"/>
                <w:szCs w:val="16"/>
              </w:rPr>
              <w:t>26.42%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AD2D2DA" w14:textId="5D991656" w:rsidR="005F442C" w:rsidRPr="00781112" w:rsidRDefault="002B7490" w:rsidP="00A018D4">
            <w:pPr>
              <w:jc w:val="center"/>
              <w:rPr>
                <w:rFonts w:cs="Arial"/>
                <w:color w:val="000000" w:themeColor="text1"/>
                <w:szCs w:val="16"/>
              </w:rPr>
            </w:pPr>
            <w:r w:rsidRPr="00781112">
              <w:rPr>
                <w:rFonts w:cs="Arial"/>
                <w:color w:val="000000" w:themeColor="text1"/>
                <w:szCs w:val="16"/>
              </w:rPr>
              <w:t>22.27%</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4EFC8E5" w14:textId="36855126" w:rsidR="005F442C" w:rsidRPr="00781112" w:rsidRDefault="002B7490" w:rsidP="00A018D4">
            <w:pPr>
              <w:jc w:val="center"/>
              <w:rPr>
                <w:rFonts w:cs="Arial"/>
                <w:color w:val="000000" w:themeColor="text1"/>
                <w:szCs w:val="16"/>
              </w:rPr>
            </w:pPr>
            <w:r w:rsidRPr="00781112">
              <w:rPr>
                <w:rFonts w:cs="Arial"/>
                <w:color w:val="000000" w:themeColor="text1"/>
                <w:szCs w:val="16"/>
              </w:rPr>
              <w:t>20.02%</w:t>
            </w:r>
          </w:p>
        </w:tc>
      </w:tr>
      <w:tr w:rsidR="005C29F8" w:rsidRPr="00781112" w14:paraId="626D1DE5"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2420D4E8"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shd w:val="clear" w:color="auto" w:fill="auto"/>
          </w:tcPr>
          <w:p w14:paraId="1A949E27" w14:textId="6BA6427F" w:rsidR="005F442C"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3F7C9" w14:textId="0A3252A0"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BC5CE03" w14:textId="44707AE5" w:rsidR="005F442C" w:rsidRPr="00781112" w:rsidRDefault="002B7490" w:rsidP="00A018D4">
            <w:pPr>
              <w:jc w:val="center"/>
              <w:rPr>
                <w:rFonts w:cs="Arial"/>
                <w:color w:val="000000" w:themeColor="text1"/>
                <w:szCs w:val="16"/>
              </w:rPr>
            </w:pPr>
            <w:r w:rsidRPr="00781112">
              <w:rPr>
                <w:rFonts w:cs="Arial"/>
                <w:color w:val="000000" w:themeColor="text1"/>
                <w:szCs w:val="16"/>
              </w:rPr>
              <w:t>47.50%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E7D0375" w14:textId="72BE41AE" w:rsidR="005F442C" w:rsidRPr="00781112" w:rsidRDefault="002B7490" w:rsidP="00A018D4">
            <w:pPr>
              <w:jc w:val="center"/>
              <w:rPr>
                <w:rFonts w:cs="Arial"/>
                <w:color w:val="000000" w:themeColor="text1"/>
                <w:szCs w:val="16"/>
              </w:rPr>
            </w:pPr>
            <w:r w:rsidRPr="00781112">
              <w:rPr>
                <w:rFonts w:cs="Arial"/>
                <w:color w:val="000000" w:themeColor="text1"/>
                <w:szCs w:val="16"/>
              </w:rPr>
              <w:t>48.00%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FA8C72" w14:textId="1DBA7AD5" w:rsidR="005F442C" w:rsidRPr="00781112" w:rsidRDefault="002B7490" w:rsidP="00A018D4">
            <w:pPr>
              <w:jc w:val="center"/>
              <w:rPr>
                <w:rFonts w:cs="Arial"/>
                <w:color w:val="000000" w:themeColor="text1"/>
                <w:szCs w:val="16"/>
              </w:rPr>
            </w:pPr>
            <w:r w:rsidRPr="00781112">
              <w:rPr>
                <w:rFonts w:cs="Arial"/>
                <w:color w:val="000000" w:themeColor="text1"/>
                <w:szCs w:val="16"/>
              </w:rPr>
              <w:t>49.00%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2EAF5AA" w14:textId="0EED287F" w:rsidR="005F442C" w:rsidRPr="00781112" w:rsidRDefault="002B7490" w:rsidP="00A018D4">
            <w:pPr>
              <w:jc w:val="center"/>
              <w:rPr>
                <w:rFonts w:cs="Arial"/>
                <w:color w:val="000000" w:themeColor="text1"/>
                <w:szCs w:val="16"/>
              </w:rPr>
            </w:pPr>
            <w:r w:rsidRPr="00781112">
              <w:rPr>
                <w:rFonts w:cs="Arial"/>
                <w:color w:val="000000" w:themeColor="text1"/>
                <w:szCs w:val="16"/>
              </w:rPr>
              <w:t>49.00%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ADF4529" w14:textId="5459CD21" w:rsidR="005F442C" w:rsidRPr="00781112" w:rsidRDefault="002B7490" w:rsidP="00A018D4">
            <w:pPr>
              <w:jc w:val="center"/>
              <w:rPr>
                <w:rFonts w:cs="Arial"/>
                <w:color w:val="000000" w:themeColor="text1"/>
                <w:szCs w:val="16"/>
              </w:rPr>
            </w:pPr>
            <w:r w:rsidRPr="00781112">
              <w:rPr>
                <w:rFonts w:cs="Arial"/>
                <w:color w:val="000000" w:themeColor="text1"/>
                <w:szCs w:val="16"/>
              </w:rPr>
              <w:t>54.00%</w:t>
            </w:r>
          </w:p>
        </w:tc>
      </w:tr>
      <w:tr w:rsidR="005C29F8" w:rsidRPr="00781112" w14:paraId="04BD4647" w14:textId="77777777" w:rsidTr="00C37CAE">
        <w:trPr>
          <w:trHeight w:val="85"/>
        </w:trPr>
        <w:tc>
          <w:tcPr>
            <w:tcW w:w="190" w:type="pct"/>
            <w:tcBorders>
              <w:left w:val="single" w:sz="4" w:space="0" w:color="auto"/>
              <w:right w:val="single" w:sz="4" w:space="0" w:color="auto"/>
            </w:tcBorders>
            <w:shd w:val="clear" w:color="auto" w:fill="auto"/>
          </w:tcPr>
          <w:p w14:paraId="0F20B888" w14:textId="46217DEF"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shd w:val="clear" w:color="auto" w:fill="auto"/>
          </w:tcPr>
          <w:p w14:paraId="7553E0D1" w14:textId="50261931" w:rsidR="005F442C" w:rsidRPr="00781112" w:rsidRDefault="002B7490" w:rsidP="00A018D4">
            <w:pPr>
              <w:jc w:val="center"/>
              <w:rPr>
                <w:rFonts w:cs="Arial"/>
                <w:color w:val="000000" w:themeColor="text1"/>
                <w:szCs w:val="16"/>
              </w:rPr>
            </w:pPr>
            <w:r w:rsidRPr="00781112">
              <w:rPr>
                <w:rFonts w:cs="Arial"/>
                <w:color w:val="000000" w:themeColor="text1"/>
                <w:szCs w:val="16"/>
              </w:rPr>
              <w:t>54.72%</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4A099" w14:textId="7777777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6F1CC00" w14:textId="27BDC0A1" w:rsidR="005F442C" w:rsidRPr="00781112" w:rsidRDefault="002B7490" w:rsidP="00A018D4">
            <w:pPr>
              <w:jc w:val="center"/>
              <w:rPr>
                <w:rFonts w:cs="Arial"/>
                <w:color w:val="000000" w:themeColor="text1"/>
                <w:szCs w:val="16"/>
              </w:rPr>
            </w:pPr>
            <w:r w:rsidRPr="00781112">
              <w:rPr>
                <w:rFonts w:cs="Arial"/>
                <w:color w:val="000000" w:themeColor="text1"/>
                <w:szCs w:val="16"/>
              </w:rPr>
              <w:t>62.74%</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2BDB3D" w14:textId="7C9CDA00" w:rsidR="005F442C" w:rsidRPr="00781112" w:rsidRDefault="002B7490" w:rsidP="00A018D4">
            <w:pPr>
              <w:jc w:val="center"/>
              <w:rPr>
                <w:rFonts w:cs="Arial"/>
                <w:color w:val="000000" w:themeColor="text1"/>
                <w:szCs w:val="16"/>
              </w:rPr>
            </w:pPr>
            <w:r w:rsidRPr="00781112">
              <w:rPr>
                <w:rFonts w:cs="Arial"/>
                <w:color w:val="000000" w:themeColor="text1"/>
                <w:szCs w:val="16"/>
              </w:rPr>
              <w:t>60.58%</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8698B0" w14:textId="23886D70" w:rsidR="005F442C" w:rsidRPr="00781112" w:rsidRDefault="002B7490" w:rsidP="00A018D4">
            <w:pPr>
              <w:jc w:val="center"/>
              <w:rPr>
                <w:rFonts w:cs="Arial"/>
                <w:color w:val="000000" w:themeColor="text1"/>
                <w:szCs w:val="16"/>
              </w:rPr>
            </w:pPr>
            <w:r w:rsidRPr="00781112">
              <w:rPr>
                <w:rFonts w:cs="Arial"/>
                <w:color w:val="000000" w:themeColor="text1"/>
                <w:szCs w:val="16"/>
              </w:rPr>
              <w:t>57.19%</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9C7692" w14:textId="490F43AD" w:rsidR="005F442C" w:rsidRPr="00781112" w:rsidRDefault="002B7490" w:rsidP="00A018D4">
            <w:pPr>
              <w:jc w:val="center"/>
              <w:rPr>
                <w:rFonts w:cs="Arial"/>
                <w:color w:val="000000" w:themeColor="text1"/>
                <w:szCs w:val="16"/>
              </w:rPr>
            </w:pPr>
            <w:r w:rsidRPr="00781112">
              <w:rPr>
                <w:rFonts w:cs="Arial"/>
                <w:color w:val="000000" w:themeColor="text1"/>
                <w:szCs w:val="16"/>
              </w:rPr>
              <w:t>51.27%</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97DA8B1" w14:textId="591F0E95" w:rsidR="005F442C" w:rsidRPr="00781112" w:rsidRDefault="002B7490" w:rsidP="00A018D4">
            <w:pPr>
              <w:jc w:val="center"/>
              <w:rPr>
                <w:rFonts w:cs="Arial"/>
                <w:color w:val="000000" w:themeColor="text1"/>
                <w:szCs w:val="16"/>
              </w:rPr>
            </w:pPr>
            <w:r w:rsidRPr="00781112">
              <w:rPr>
                <w:rFonts w:cs="Arial"/>
                <w:color w:val="000000" w:themeColor="text1"/>
                <w:szCs w:val="16"/>
              </w:rPr>
              <w:t>54.72%</w:t>
            </w:r>
          </w:p>
        </w:tc>
      </w:tr>
      <w:tr w:rsidR="005C29F8" w:rsidRPr="00781112" w14:paraId="3B4797BA"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6C3DB934"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shd w:val="clear" w:color="auto" w:fill="auto"/>
          </w:tcPr>
          <w:p w14:paraId="16F6EE90" w14:textId="5DB098B3" w:rsidR="005F442C"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C8BB" w14:textId="575B1EC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6636D2C" w14:textId="048A2FD1" w:rsidR="005F442C" w:rsidRPr="00781112" w:rsidRDefault="002B7490" w:rsidP="00A018D4">
            <w:pPr>
              <w:jc w:val="center"/>
              <w:rPr>
                <w:rFonts w:cs="Arial"/>
                <w:color w:val="000000" w:themeColor="text1"/>
                <w:szCs w:val="16"/>
              </w:rPr>
            </w:pPr>
            <w:r w:rsidRPr="00781112">
              <w:rPr>
                <w:rFonts w:cs="Arial"/>
                <w:color w:val="000000" w:themeColor="text1"/>
                <w:szCs w:val="16"/>
              </w:rPr>
              <w:t>60.50%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F601683" w14:textId="08666F48" w:rsidR="005F442C" w:rsidRPr="00781112" w:rsidRDefault="002B7490" w:rsidP="00A018D4">
            <w:pPr>
              <w:jc w:val="center"/>
              <w:rPr>
                <w:rFonts w:cs="Arial"/>
                <w:color w:val="000000" w:themeColor="text1"/>
                <w:szCs w:val="16"/>
              </w:rPr>
            </w:pPr>
            <w:r w:rsidRPr="00781112">
              <w:rPr>
                <w:rFonts w:cs="Arial"/>
                <w:color w:val="000000" w:themeColor="text1"/>
                <w:szCs w:val="16"/>
              </w:rPr>
              <w:t>61.00%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44C7E3A" w14:textId="4B31ECC3" w:rsidR="005F442C" w:rsidRPr="00781112" w:rsidRDefault="002B7490" w:rsidP="00A018D4">
            <w:pPr>
              <w:jc w:val="center"/>
              <w:rPr>
                <w:rFonts w:cs="Arial"/>
                <w:color w:val="000000" w:themeColor="text1"/>
                <w:szCs w:val="16"/>
              </w:rPr>
            </w:pPr>
            <w:r w:rsidRPr="00781112">
              <w:rPr>
                <w:rFonts w:cs="Arial"/>
                <w:color w:val="000000" w:themeColor="text1"/>
                <w:szCs w:val="16"/>
              </w:rPr>
              <w:t>73.60%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5933A5C" w14:textId="2942912F" w:rsidR="005F442C" w:rsidRPr="00781112" w:rsidRDefault="002B7490" w:rsidP="00A018D4">
            <w:pPr>
              <w:jc w:val="center"/>
              <w:rPr>
                <w:rFonts w:cs="Arial"/>
                <w:color w:val="000000" w:themeColor="text1"/>
                <w:szCs w:val="16"/>
              </w:rPr>
            </w:pPr>
            <w:r w:rsidRPr="00781112">
              <w:rPr>
                <w:rFonts w:cs="Arial"/>
                <w:color w:val="000000" w:themeColor="text1"/>
                <w:szCs w:val="16"/>
              </w:rPr>
              <w:t>73.60%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C32933D" w14:textId="5E0B7F18" w:rsidR="005F442C" w:rsidRPr="00781112" w:rsidRDefault="002B7490" w:rsidP="00A018D4">
            <w:pPr>
              <w:jc w:val="center"/>
              <w:rPr>
                <w:rFonts w:cs="Arial"/>
                <w:color w:val="000000" w:themeColor="text1"/>
                <w:szCs w:val="16"/>
              </w:rPr>
            </w:pPr>
            <w:r w:rsidRPr="00781112">
              <w:rPr>
                <w:rFonts w:cs="Arial"/>
                <w:color w:val="000000" w:themeColor="text1"/>
                <w:szCs w:val="16"/>
              </w:rPr>
              <w:t>64.00%</w:t>
            </w:r>
          </w:p>
        </w:tc>
      </w:tr>
      <w:tr w:rsidR="005C29F8" w:rsidRPr="00781112" w14:paraId="6F394366" w14:textId="77777777" w:rsidTr="00C37CAE">
        <w:trPr>
          <w:trHeight w:val="85"/>
        </w:trPr>
        <w:tc>
          <w:tcPr>
            <w:tcW w:w="190" w:type="pct"/>
            <w:tcBorders>
              <w:left w:val="single" w:sz="4" w:space="0" w:color="auto"/>
              <w:right w:val="single" w:sz="4" w:space="0" w:color="auto"/>
            </w:tcBorders>
            <w:shd w:val="clear" w:color="auto" w:fill="auto"/>
          </w:tcPr>
          <w:p w14:paraId="44948B1E" w14:textId="67BC5CB9"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shd w:val="clear" w:color="auto" w:fill="auto"/>
          </w:tcPr>
          <w:p w14:paraId="11A9E1DB" w14:textId="6AB2315D" w:rsidR="005F442C" w:rsidRPr="00781112" w:rsidRDefault="002B7490" w:rsidP="00A018D4">
            <w:pPr>
              <w:jc w:val="center"/>
              <w:rPr>
                <w:rFonts w:cs="Arial"/>
                <w:color w:val="000000" w:themeColor="text1"/>
                <w:szCs w:val="16"/>
              </w:rPr>
            </w:pPr>
            <w:r w:rsidRPr="00781112">
              <w:rPr>
                <w:rFonts w:cs="Arial"/>
                <w:color w:val="000000" w:themeColor="text1"/>
                <w:szCs w:val="16"/>
              </w:rPr>
              <w:t>64.73%</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A4DE0" w14:textId="7777777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669A5081" w14:textId="5506F90A" w:rsidR="005F442C" w:rsidRPr="00781112" w:rsidRDefault="002B7490" w:rsidP="00A018D4">
            <w:pPr>
              <w:jc w:val="center"/>
              <w:rPr>
                <w:rFonts w:cs="Arial"/>
                <w:color w:val="000000" w:themeColor="text1"/>
                <w:szCs w:val="16"/>
              </w:rPr>
            </w:pPr>
            <w:r w:rsidRPr="00781112">
              <w:rPr>
                <w:rFonts w:cs="Arial"/>
                <w:color w:val="000000" w:themeColor="text1"/>
                <w:szCs w:val="16"/>
              </w:rPr>
              <w:t>74.74%</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490F65AA" w14:textId="42AB492B" w:rsidR="005F442C" w:rsidRPr="00781112" w:rsidRDefault="002B7490" w:rsidP="00A018D4">
            <w:pPr>
              <w:jc w:val="center"/>
              <w:rPr>
                <w:rFonts w:cs="Arial"/>
                <w:color w:val="000000" w:themeColor="text1"/>
                <w:szCs w:val="16"/>
              </w:rPr>
            </w:pPr>
            <w:r w:rsidRPr="00781112">
              <w:rPr>
                <w:rFonts w:cs="Arial"/>
                <w:color w:val="000000" w:themeColor="text1"/>
                <w:szCs w:val="16"/>
              </w:rPr>
              <w:t>76.60%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EBC0DCF" w14:textId="12C96EDC" w:rsidR="005F442C" w:rsidRPr="00781112" w:rsidRDefault="002B7490" w:rsidP="00A018D4">
            <w:pPr>
              <w:jc w:val="center"/>
              <w:rPr>
                <w:rFonts w:cs="Arial"/>
                <w:color w:val="000000" w:themeColor="text1"/>
                <w:szCs w:val="16"/>
              </w:rPr>
            </w:pPr>
            <w:r w:rsidRPr="00781112">
              <w:rPr>
                <w:rFonts w:cs="Arial"/>
                <w:color w:val="000000" w:themeColor="text1"/>
                <w:szCs w:val="16"/>
              </w:rPr>
              <w:t>73.36%</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F6AC359" w14:textId="4DD9908A" w:rsidR="005F442C" w:rsidRPr="00781112" w:rsidRDefault="002B7490" w:rsidP="00A018D4">
            <w:pPr>
              <w:jc w:val="center"/>
              <w:rPr>
                <w:rFonts w:cs="Arial"/>
                <w:color w:val="000000" w:themeColor="text1"/>
                <w:szCs w:val="16"/>
              </w:rPr>
            </w:pPr>
            <w:r w:rsidRPr="00781112">
              <w:rPr>
                <w:rFonts w:cs="Arial"/>
                <w:color w:val="000000" w:themeColor="text1"/>
                <w:szCs w:val="16"/>
              </w:rPr>
              <w:t>70.18%</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DD4FEA0" w14:textId="22130008" w:rsidR="005F442C" w:rsidRPr="00781112" w:rsidRDefault="002B7490" w:rsidP="00A018D4">
            <w:pPr>
              <w:jc w:val="center"/>
              <w:rPr>
                <w:rFonts w:cs="Arial"/>
                <w:color w:val="000000" w:themeColor="text1"/>
                <w:szCs w:val="16"/>
              </w:rPr>
            </w:pPr>
            <w:r w:rsidRPr="00781112">
              <w:rPr>
                <w:rFonts w:cs="Arial"/>
                <w:color w:val="000000" w:themeColor="text1"/>
                <w:szCs w:val="16"/>
              </w:rPr>
              <w:t>64.73%</w:t>
            </w:r>
          </w:p>
        </w:tc>
      </w:tr>
    </w:tbl>
    <w:p w14:paraId="7084612B" w14:textId="77777777" w:rsidR="00E448E9" w:rsidRPr="00781112" w:rsidRDefault="00E448E9" w:rsidP="004369B2">
      <w:pPr>
        <w:rPr>
          <w:color w:val="000000" w:themeColor="text1"/>
        </w:rPr>
      </w:pPr>
    </w:p>
    <w:p w14:paraId="02DB82E4" w14:textId="43A8E2E5" w:rsidR="005F442C" w:rsidRPr="00781112" w:rsidRDefault="00806C75" w:rsidP="004369B2">
      <w:pPr>
        <w:rPr>
          <w:color w:val="000000" w:themeColor="text1"/>
        </w:rPr>
      </w:pPr>
      <w:r w:rsidRPr="00781112">
        <w:rPr>
          <w:b/>
          <w:color w:val="000000" w:themeColor="text1"/>
        </w:rPr>
        <w:t>FFY 2020 Targets</w:t>
      </w:r>
    </w:p>
    <w:tbl>
      <w:tblPr>
        <w:tblW w:w="42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2"/>
        <w:gridCol w:w="1664"/>
        <w:gridCol w:w="1664"/>
        <w:gridCol w:w="1663"/>
        <w:gridCol w:w="1663"/>
        <w:gridCol w:w="1663"/>
      </w:tblGrid>
      <w:tr w:rsidR="00B14519" w:rsidRPr="00781112" w14:paraId="0D5EED67" w14:textId="79D43F28" w:rsidTr="00451D7E">
        <w:trPr>
          <w:trHeight w:val="388"/>
        </w:trPr>
        <w:tc>
          <w:tcPr>
            <w:tcW w:w="449" w:type="pct"/>
            <w:tcBorders>
              <w:bottom w:val="single" w:sz="4" w:space="0" w:color="auto"/>
            </w:tcBorders>
            <w:shd w:val="clear" w:color="auto" w:fill="auto"/>
          </w:tcPr>
          <w:p w14:paraId="3A39086B" w14:textId="77777777" w:rsidR="00B14519" w:rsidRPr="00781112" w:rsidRDefault="00B14519" w:rsidP="00AF574F">
            <w:pPr>
              <w:jc w:val="center"/>
              <w:rPr>
                <w:b/>
                <w:color w:val="000000" w:themeColor="text1"/>
              </w:rPr>
            </w:pPr>
            <w:r w:rsidRPr="00781112">
              <w:rPr>
                <w:b/>
                <w:color w:val="000000" w:themeColor="text1"/>
              </w:rPr>
              <w:t>FFY</w:t>
            </w:r>
          </w:p>
        </w:tc>
        <w:tc>
          <w:tcPr>
            <w:tcW w:w="910" w:type="pct"/>
            <w:shd w:val="clear" w:color="auto" w:fill="auto"/>
          </w:tcPr>
          <w:p w14:paraId="3904D56E" w14:textId="5A40B787" w:rsidR="00B14519" w:rsidRPr="00781112" w:rsidRDefault="00B14519" w:rsidP="00AF574F">
            <w:pPr>
              <w:jc w:val="center"/>
              <w:rPr>
                <w:b/>
                <w:color w:val="000000" w:themeColor="text1"/>
              </w:rPr>
            </w:pPr>
            <w:r w:rsidRPr="00781112">
              <w:rPr>
                <w:b/>
                <w:color w:val="000000" w:themeColor="text1"/>
              </w:rPr>
              <w:t>2021</w:t>
            </w:r>
          </w:p>
        </w:tc>
        <w:tc>
          <w:tcPr>
            <w:tcW w:w="910" w:type="pct"/>
          </w:tcPr>
          <w:p w14:paraId="5E87DEBC" w14:textId="3C58C740" w:rsidR="00B14519" w:rsidRPr="00781112" w:rsidRDefault="00B14519" w:rsidP="00AF574F">
            <w:pPr>
              <w:jc w:val="center"/>
              <w:rPr>
                <w:b/>
                <w:color w:val="000000" w:themeColor="text1"/>
              </w:rPr>
            </w:pPr>
            <w:r w:rsidRPr="00781112">
              <w:rPr>
                <w:rFonts w:cs="Arial"/>
                <w:b/>
                <w:color w:val="000000" w:themeColor="text1"/>
                <w:szCs w:val="16"/>
              </w:rPr>
              <w:t>2022</w:t>
            </w:r>
          </w:p>
        </w:tc>
        <w:tc>
          <w:tcPr>
            <w:tcW w:w="910" w:type="pct"/>
          </w:tcPr>
          <w:p w14:paraId="1D78C038" w14:textId="34E0A4B6" w:rsidR="00B14519" w:rsidRPr="00781112" w:rsidRDefault="00B14519" w:rsidP="00AF574F">
            <w:pPr>
              <w:jc w:val="center"/>
              <w:rPr>
                <w:b/>
                <w:color w:val="000000" w:themeColor="text1"/>
              </w:rPr>
            </w:pPr>
            <w:r w:rsidRPr="00781112">
              <w:rPr>
                <w:rFonts w:cs="Arial"/>
                <w:b/>
                <w:color w:val="000000" w:themeColor="text1"/>
                <w:szCs w:val="16"/>
              </w:rPr>
              <w:t>2023</w:t>
            </w:r>
          </w:p>
        </w:tc>
        <w:tc>
          <w:tcPr>
            <w:tcW w:w="910" w:type="pct"/>
          </w:tcPr>
          <w:p w14:paraId="3C72E9BA" w14:textId="291BB861" w:rsidR="00B14519" w:rsidRPr="00781112" w:rsidRDefault="00B14519" w:rsidP="00AF574F">
            <w:pPr>
              <w:jc w:val="center"/>
              <w:rPr>
                <w:b/>
                <w:color w:val="000000" w:themeColor="text1"/>
              </w:rPr>
            </w:pPr>
            <w:r w:rsidRPr="00781112">
              <w:rPr>
                <w:rFonts w:cs="Arial"/>
                <w:b/>
                <w:color w:val="000000" w:themeColor="text1"/>
                <w:szCs w:val="16"/>
              </w:rPr>
              <w:t>2024</w:t>
            </w:r>
          </w:p>
        </w:tc>
        <w:tc>
          <w:tcPr>
            <w:tcW w:w="910" w:type="pct"/>
          </w:tcPr>
          <w:p w14:paraId="1F7D660E" w14:textId="277D280C" w:rsidR="00B14519" w:rsidRPr="00781112" w:rsidRDefault="00B14519" w:rsidP="00AF574F">
            <w:pPr>
              <w:jc w:val="center"/>
              <w:rPr>
                <w:b/>
                <w:color w:val="000000" w:themeColor="text1"/>
              </w:rPr>
            </w:pPr>
            <w:r w:rsidRPr="00781112">
              <w:rPr>
                <w:rFonts w:cs="Arial"/>
                <w:b/>
                <w:color w:val="000000" w:themeColor="text1"/>
                <w:szCs w:val="16"/>
              </w:rPr>
              <w:t>2025</w:t>
            </w:r>
          </w:p>
        </w:tc>
      </w:tr>
      <w:tr w:rsidR="00B14519" w:rsidRPr="00781112" w14:paraId="7E2B073B" w14:textId="0B5C632B" w:rsidTr="00451D7E">
        <w:trPr>
          <w:trHeight w:val="396"/>
        </w:trPr>
        <w:tc>
          <w:tcPr>
            <w:tcW w:w="449" w:type="pct"/>
            <w:shd w:val="clear" w:color="auto" w:fill="auto"/>
          </w:tcPr>
          <w:p w14:paraId="0DC64663" w14:textId="2175F0A9" w:rsidR="00B14519" w:rsidRPr="00781112" w:rsidRDefault="00B14519" w:rsidP="00AF574F">
            <w:pPr>
              <w:rPr>
                <w:rFonts w:cs="Arial"/>
                <w:color w:val="000000" w:themeColor="text1"/>
                <w:szCs w:val="16"/>
              </w:rPr>
            </w:pPr>
            <w:r w:rsidRPr="00781112">
              <w:rPr>
                <w:rFonts w:cs="Arial"/>
                <w:color w:val="000000" w:themeColor="text1"/>
                <w:szCs w:val="16"/>
              </w:rPr>
              <w:t>Target A &gt;=</w:t>
            </w:r>
          </w:p>
        </w:tc>
        <w:tc>
          <w:tcPr>
            <w:tcW w:w="910" w:type="pct"/>
            <w:shd w:val="clear" w:color="auto" w:fill="auto"/>
            <w:vAlign w:val="center"/>
          </w:tcPr>
          <w:p w14:paraId="0A86FFC3" w14:textId="4AE9585E" w:rsidR="00B14519" w:rsidRPr="00781112" w:rsidRDefault="00B14519" w:rsidP="00AF574F">
            <w:pPr>
              <w:jc w:val="center"/>
              <w:rPr>
                <w:rFonts w:cs="Arial"/>
                <w:color w:val="000000" w:themeColor="text1"/>
                <w:szCs w:val="16"/>
              </w:rPr>
            </w:pPr>
            <w:r w:rsidRPr="00781112">
              <w:rPr>
                <w:rFonts w:cs="Arial"/>
                <w:color w:val="000000" w:themeColor="text1"/>
                <w:szCs w:val="16"/>
              </w:rPr>
              <w:t>21.00%</w:t>
            </w:r>
          </w:p>
        </w:tc>
        <w:tc>
          <w:tcPr>
            <w:tcW w:w="910" w:type="pct"/>
          </w:tcPr>
          <w:p w14:paraId="72551055" w14:textId="7A9EF926" w:rsidR="00B14519" w:rsidRPr="00781112" w:rsidRDefault="00B14519" w:rsidP="00AF574F">
            <w:pPr>
              <w:jc w:val="center"/>
              <w:rPr>
                <w:rFonts w:cs="Arial"/>
                <w:color w:val="000000" w:themeColor="text1"/>
                <w:szCs w:val="16"/>
              </w:rPr>
            </w:pPr>
            <w:r w:rsidRPr="00781112">
              <w:rPr>
                <w:color w:val="000000" w:themeColor="text1"/>
                <w:szCs w:val="16"/>
              </w:rPr>
              <w:t>22.00%</w:t>
            </w:r>
          </w:p>
        </w:tc>
        <w:tc>
          <w:tcPr>
            <w:tcW w:w="910" w:type="pct"/>
          </w:tcPr>
          <w:p w14:paraId="4460710F" w14:textId="653162EA" w:rsidR="00B14519" w:rsidRPr="00781112" w:rsidRDefault="00B14519" w:rsidP="00AF574F">
            <w:pPr>
              <w:jc w:val="center"/>
              <w:rPr>
                <w:rFonts w:cs="Arial"/>
                <w:color w:val="000000" w:themeColor="text1"/>
                <w:szCs w:val="16"/>
              </w:rPr>
            </w:pPr>
            <w:r w:rsidRPr="00781112">
              <w:rPr>
                <w:color w:val="000000" w:themeColor="text1"/>
                <w:szCs w:val="16"/>
              </w:rPr>
              <w:t>23.00%</w:t>
            </w:r>
          </w:p>
        </w:tc>
        <w:tc>
          <w:tcPr>
            <w:tcW w:w="910" w:type="pct"/>
          </w:tcPr>
          <w:p w14:paraId="42DE20BE" w14:textId="660F0A38" w:rsidR="00B14519" w:rsidRPr="00781112" w:rsidRDefault="00B14519" w:rsidP="00AF574F">
            <w:pPr>
              <w:jc w:val="center"/>
              <w:rPr>
                <w:rFonts w:cs="Arial"/>
                <w:color w:val="000000" w:themeColor="text1"/>
                <w:szCs w:val="16"/>
              </w:rPr>
            </w:pPr>
            <w:r w:rsidRPr="00781112">
              <w:rPr>
                <w:color w:val="000000" w:themeColor="text1"/>
                <w:szCs w:val="16"/>
              </w:rPr>
              <w:t>24.00%</w:t>
            </w:r>
          </w:p>
        </w:tc>
        <w:tc>
          <w:tcPr>
            <w:tcW w:w="910" w:type="pct"/>
          </w:tcPr>
          <w:p w14:paraId="5E9B0020" w14:textId="74258703" w:rsidR="00B14519" w:rsidRPr="00781112" w:rsidRDefault="00B14519" w:rsidP="00AF574F">
            <w:pPr>
              <w:jc w:val="center"/>
              <w:rPr>
                <w:rFonts w:cs="Arial"/>
                <w:color w:val="000000" w:themeColor="text1"/>
                <w:szCs w:val="16"/>
              </w:rPr>
            </w:pPr>
            <w:r w:rsidRPr="00781112">
              <w:rPr>
                <w:color w:val="000000" w:themeColor="text1"/>
                <w:szCs w:val="16"/>
              </w:rPr>
              <w:t>25.00%</w:t>
            </w:r>
          </w:p>
        </w:tc>
      </w:tr>
      <w:tr w:rsidR="00B14519" w:rsidRPr="00781112" w14:paraId="0314BAE3" w14:textId="455C9C0A" w:rsidTr="00451D7E">
        <w:trPr>
          <w:trHeight w:val="396"/>
        </w:trPr>
        <w:tc>
          <w:tcPr>
            <w:tcW w:w="449" w:type="pct"/>
            <w:shd w:val="clear" w:color="auto" w:fill="auto"/>
          </w:tcPr>
          <w:p w14:paraId="53C1536D" w14:textId="615A342B" w:rsidR="00B14519" w:rsidRPr="00781112" w:rsidRDefault="00B14519" w:rsidP="00AF574F">
            <w:pPr>
              <w:rPr>
                <w:rFonts w:cs="Arial"/>
                <w:color w:val="000000" w:themeColor="text1"/>
                <w:szCs w:val="16"/>
              </w:rPr>
            </w:pPr>
            <w:r w:rsidRPr="00781112">
              <w:rPr>
                <w:rFonts w:cs="Arial"/>
                <w:color w:val="000000" w:themeColor="text1"/>
                <w:szCs w:val="16"/>
              </w:rPr>
              <w:t>Target B &gt;=</w:t>
            </w:r>
          </w:p>
        </w:tc>
        <w:tc>
          <w:tcPr>
            <w:tcW w:w="910" w:type="pct"/>
            <w:shd w:val="clear" w:color="auto" w:fill="auto"/>
            <w:vAlign w:val="center"/>
          </w:tcPr>
          <w:p w14:paraId="3AAA5324" w14:textId="5539646A" w:rsidR="00B14519" w:rsidRPr="00781112" w:rsidRDefault="00B14519" w:rsidP="00AF574F">
            <w:pPr>
              <w:jc w:val="center"/>
              <w:rPr>
                <w:rFonts w:cs="Arial"/>
                <w:color w:val="000000" w:themeColor="text1"/>
                <w:szCs w:val="16"/>
              </w:rPr>
            </w:pPr>
            <w:r w:rsidRPr="00781112">
              <w:rPr>
                <w:rFonts w:cs="Arial"/>
                <w:color w:val="000000" w:themeColor="text1"/>
                <w:szCs w:val="16"/>
              </w:rPr>
              <w:t>55.00%</w:t>
            </w:r>
          </w:p>
        </w:tc>
        <w:tc>
          <w:tcPr>
            <w:tcW w:w="910" w:type="pct"/>
          </w:tcPr>
          <w:p w14:paraId="0CDB15F6" w14:textId="4F01BE13" w:rsidR="00B14519" w:rsidRPr="00781112" w:rsidRDefault="00B14519" w:rsidP="00AF574F">
            <w:pPr>
              <w:jc w:val="center"/>
              <w:rPr>
                <w:rFonts w:cs="Arial"/>
                <w:color w:val="000000" w:themeColor="text1"/>
                <w:szCs w:val="16"/>
              </w:rPr>
            </w:pPr>
            <w:r w:rsidRPr="00781112">
              <w:rPr>
                <w:color w:val="000000" w:themeColor="text1"/>
                <w:szCs w:val="16"/>
              </w:rPr>
              <w:t>56.00%</w:t>
            </w:r>
          </w:p>
        </w:tc>
        <w:tc>
          <w:tcPr>
            <w:tcW w:w="910" w:type="pct"/>
          </w:tcPr>
          <w:p w14:paraId="4BE6282D" w14:textId="241D14B5" w:rsidR="00B14519" w:rsidRPr="00781112" w:rsidRDefault="00B14519" w:rsidP="00AF574F">
            <w:pPr>
              <w:jc w:val="center"/>
              <w:rPr>
                <w:rFonts w:cs="Arial"/>
                <w:color w:val="000000" w:themeColor="text1"/>
                <w:szCs w:val="16"/>
              </w:rPr>
            </w:pPr>
            <w:r w:rsidRPr="00781112">
              <w:rPr>
                <w:color w:val="000000" w:themeColor="text1"/>
                <w:szCs w:val="16"/>
              </w:rPr>
              <w:t>57.00%</w:t>
            </w:r>
          </w:p>
        </w:tc>
        <w:tc>
          <w:tcPr>
            <w:tcW w:w="910" w:type="pct"/>
          </w:tcPr>
          <w:p w14:paraId="57A02DD3" w14:textId="4CEDC8B3" w:rsidR="00B14519" w:rsidRPr="00781112" w:rsidRDefault="00B14519" w:rsidP="00AF574F">
            <w:pPr>
              <w:jc w:val="center"/>
              <w:rPr>
                <w:rFonts w:cs="Arial"/>
                <w:color w:val="000000" w:themeColor="text1"/>
                <w:szCs w:val="16"/>
              </w:rPr>
            </w:pPr>
            <w:r w:rsidRPr="00781112">
              <w:rPr>
                <w:color w:val="000000" w:themeColor="text1"/>
                <w:szCs w:val="16"/>
              </w:rPr>
              <w:t>58.00%</w:t>
            </w:r>
          </w:p>
        </w:tc>
        <w:tc>
          <w:tcPr>
            <w:tcW w:w="910" w:type="pct"/>
          </w:tcPr>
          <w:p w14:paraId="370ACB93" w14:textId="0BC1C559" w:rsidR="00B14519" w:rsidRPr="00781112" w:rsidRDefault="00B14519" w:rsidP="00AF574F">
            <w:pPr>
              <w:jc w:val="center"/>
              <w:rPr>
                <w:rFonts w:cs="Arial"/>
                <w:color w:val="000000" w:themeColor="text1"/>
                <w:szCs w:val="16"/>
              </w:rPr>
            </w:pPr>
            <w:r w:rsidRPr="00781112">
              <w:rPr>
                <w:color w:val="000000" w:themeColor="text1"/>
                <w:szCs w:val="16"/>
              </w:rPr>
              <w:t>59.00%</w:t>
            </w:r>
          </w:p>
        </w:tc>
      </w:tr>
      <w:tr w:rsidR="00B14519" w:rsidRPr="00781112" w14:paraId="571B685C" w14:textId="45446171" w:rsidTr="00451D7E">
        <w:trPr>
          <w:trHeight w:val="396"/>
        </w:trPr>
        <w:tc>
          <w:tcPr>
            <w:tcW w:w="449" w:type="pct"/>
            <w:shd w:val="clear" w:color="auto" w:fill="auto"/>
          </w:tcPr>
          <w:p w14:paraId="4D525255" w14:textId="5D1105EA" w:rsidR="00B14519" w:rsidRPr="00781112" w:rsidRDefault="00B14519" w:rsidP="00AF574F">
            <w:pPr>
              <w:rPr>
                <w:rFonts w:cs="Arial"/>
                <w:color w:val="000000" w:themeColor="text1"/>
                <w:szCs w:val="16"/>
              </w:rPr>
            </w:pPr>
            <w:r w:rsidRPr="00781112">
              <w:rPr>
                <w:rFonts w:cs="Arial"/>
                <w:color w:val="000000" w:themeColor="text1"/>
                <w:szCs w:val="16"/>
              </w:rPr>
              <w:t>Target C &gt;=</w:t>
            </w:r>
          </w:p>
        </w:tc>
        <w:tc>
          <w:tcPr>
            <w:tcW w:w="910" w:type="pct"/>
            <w:shd w:val="clear" w:color="auto" w:fill="auto"/>
            <w:vAlign w:val="center"/>
          </w:tcPr>
          <w:p w14:paraId="6A2D65BD" w14:textId="1F6D3E1F" w:rsidR="00B14519" w:rsidRPr="00781112" w:rsidRDefault="00B14519" w:rsidP="00AF574F">
            <w:pPr>
              <w:jc w:val="center"/>
              <w:rPr>
                <w:rFonts w:cs="Arial"/>
                <w:color w:val="000000" w:themeColor="text1"/>
                <w:szCs w:val="16"/>
              </w:rPr>
            </w:pPr>
            <w:r w:rsidRPr="00781112">
              <w:rPr>
                <w:rFonts w:cs="Arial"/>
                <w:color w:val="000000" w:themeColor="text1"/>
                <w:szCs w:val="16"/>
              </w:rPr>
              <w:t>66.00%</w:t>
            </w:r>
          </w:p>
        </w:tc>
        <w:tc>
          <w:tcPr>
            <w:tcW w:w="910" w:type="pct"/>
          </w:tcPr>
          <w:p w14:paraId="6B5B030A" w14:textId="41C6CE98" w:rsidR="00B14519" w:rsidRPr="00781112" w:rsidRDefault="00B14519" w:rsidP="00AF574F">
            <w:pPr>
              <w:jc w:val="center"/>
              <w:rPr>
                <w:rFonts w:cs="Arial"/>
                <w:color w:val="000000" w:themeColor="text1"/>
                <w:szCs w:val="16"/>
              </w:rPr>
            </w:pPr>
            <w:r w:rsidRPr="00781112">
              <w:rPr>
                <w:color w:val="000000" w:themeColor="text1"/>
                <w:szCs w:val="16"/>
              </w:rPr>
              <w:t>68.00%</w:t>
            </w:r>
          </w:p>
        </w:tc>
        <w:tc>
          <w:tcPr>
            <w:tcW w:w="910" w:type="pct"/>
          </w:tcPr>
          <w:p w14:paraId="1D90926B" w14:textId="034D06FC" w:rsidR="00B14519" w:rsidRPr="00781112" w:rsidRDefault="00B14519" w:rsidP="00AF574F">
            <w:pPr>
              <w:jc w:val="center"/>
              <w:rPr>
                <w:rFonts w:cs="Arial"/>
                <w:color w:val="000000" w:themeColor="text1"/>
                <w:szCs w:val="16"/>
              </w:rPr>
            </w:pPr>
            <w:r w:rsidRPr="00781112">
              <w:rPr>
                <w:color w:val="000000" w:themeColor="text1"/>
                <w:szCs w:val="16"/>
              </w:rPr>
              <w:t>70.00%</w:t>
            </w:r>
          </w:p>
        </w:tc>
        <w:tc>
          <w:tcPr>
            <w:tcW w:w="910" w:type="pct"/>
          </w:tcPr>
          <w:p w14:paraId="4E4DC90B" w14:textId="096AE3F3" w:rsidR="00B14519" w:rsidRPr="00781112" w:rsidRDefault="00B14519" w:rsidP="00AF574F">
            <w:pPr>
              <w:jc w:val="center"/>
              <w:rPr>
                <w:rFonts w:cs="Arial"/>
                <w:color w:val="000000" w:themeColor="text1"/>
                <w:szCs w:val="16"/>
              </w:rPr>
            </w:pPr>
            <w:r w:rsidRPr="00781112">
              <w:rPr>
                <w:color w:val="000000" w:themeColor="text1"/>
                <w:szCs w:val="16"/>
              </w:rPr>
              <w:t>72.00%</w:t>
            </w:r>
          </w:p>
        </w:tc>
        <w:tc>
          <w:tcPr>
            <w:tcW w:w="910" w:type="pct"/>
          </w:tcPr>
          <w:p w14:paraId="1926915A" w14:textId="136C8151" w:rsidR="00B14519" w:rsidRPr="00781112" w:rsidRDefault="00B14519" w:rsidP="00AF574F">
            <w:pPr>
              <w:jc w:val="center"/>
              <w:rPr>
                <w:rFonts w:cs="Arial"/>
                <w:color w:val="000000" w:themeColor="text1"/>
                <w:szCs w:val="16"/>
              </w:rPr>
            </w:pPr>
            <w:r w:rsidRPr="00781112">
              <w:rPr>
                <w:color w:val="000000" w:themeColor="text1"/>
                <w:szCs w:val="16"/>
              </w:rPr>
              <w:t>74.00%</w:t>
            </w:r>
          </w:p>
        </w:tc>
      </w:tr>
    </w:tbl>
    <w:p w14:paraId="007E6F50" w14:textId="125782E4" w:rsidR="000A2C83" w:rsidRPr="00781112" w:rsidRDefault="000A2C83" w:rsidP="004369B2">
      <w:pPr>
        <w:rPr>
          <w:b/>
          <w:color w:val="000000" w:themeColor="text1"/>
        </w:rPr>
      </w:pPr>
      <w:r w:rsidRPr="00781112">
        <w:rPr>
          <w:b/>
          <w:color w:val="000000" w:themeColor="text1"/>
        </w:rPr>
        <w:t xml:space="preserve">Targets: Description of Stakeholder Input </w:t>
      </w:r>
    </w:p>
    <w:p w14:paraId="262FFC50" w14:textId="3E779EE8" w:rsidR="000A2C83" w:rsidRPr="00781112" w:rsidRDefault="000A2C83" w:rsidP="000A2C83">
      <w:pPr>
        <w:rPr>
          <w:rFonts w:cs="Arial"/>
          <w:color w:val="000000" w:themeColor="text1"/>
          <w:szCs w:val="16"/>
        </w:rPr>
      </w:pPr>
    </w:p>
    <w:p w14:paraId="4522ADD4" w14:textId="77777777" w:rsidR="00E448E9" w:rsidRPr="00781112" w:rsidRDefault="00E448E9" w:rsidP="004369B2">
      <w:pPr>
        <w:rPr>
          <w:color w:val="000000" w:themeColor="text1"/>
        </w:rPr>
      </w:pPr>
      <w:bookmarkStart w:id="80" w:name="_Toc392159337"/>
    </w:p>
    <w:bookmarkEnd w:id="80"/>
    <w:p w14:paraId="4202DC3A" w14:textId="73004647" w:rsidR="00A03EFA" w:rsidRPr="00781112" w:rsidRDefault="0047313F" w:rsidP="004369B2">
      <w:pPr>
        <w:rPr>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395"/>
        <w:gridCol w:w="2395"/>
      </w:tblGrid>
      <w:tr w:rsidR="00090132" w:rsidRPr="00781112" w14:paraId="207EB2D1" w14:textId="77777777" w:rsidTr="00090132">
        <w:tc>
          <w:tcPr>
            <w:tcW w:w="3890" w:type="pct"/>
            <w:vAlign w:val="center"/>
          </w:tcPr>
          <w:p w14:paraId="67362B4A" w14:textId="3209EFE1" w:rsidR="00090132" w:rsidRPr="00781112" w:rsidRDefault="00090132" w:rsidP="00090132">
            <w:pPr>
              <w:keepNext/>
              <w:rPr>
                <w:rFonts w:cs="Arial"/>
                <w:color w:val="000000" w:themeColor="text1"/>
                <w:szCs w:val="16"/>
              </w:rPr>
            </w:pPr>
            <w:r>
              <w:rPr>
                <w:rFonts w:cs="Arial"/>
                <w:szCs w:val="16"/>
              </w:rPr>
              <w:t>Total</w:t>
            </w:r>
            <w:r w:rsidRPr="000B10B6">
              <w:rPr>
                <w:rFonts w:eastAsia="Times New Roman" w:cs="Arial"/>
                <w:szCs w:val="16"/>
              </w:rPr>
              <w:t xml:space="preserve"> number of targeted youth in the sample or census</w:t>
            </w:r>
          </w:p>
        </w:tc>
        <w:tc>
          <w:tcPr>
            <w:tcW w:w="1110" w:type="pct"/>
            <w:vAlign w:val="center"/>
          </w:tcPr>
          <w:p w14:paraId="2427A8AD" w14:textId="54179547" w:rsidR="00090132" w:rsidRPr="00781112" w:rsidRDefault="00090132" w:rsidP="00090132">
            <w:pPr>
              <w:jc w:val="center"/>
              <w:rPr>
                <w:rFonts w:cs="Arial"/>
                <w:color w:val="000000" w:themeColor="text1"/>
                <w:szCs w:val="16"/>
              </w:rPr>
            </w:pPr>
            <w:r>
              <w:rPr>
                <w:rFonts w:cs="Arial"/>
                <w:color w:val="000000" w:themeColor="text1"/>
                <w:szCs w:val="16"/>
              </w:rPr>
              <w:t>7,254</w:t>
            </w:r>
          </w:p>
        </w:tc>
      </w:tr>
      <w:tr w:rsidR="00090132" w:rsidRPr="00781112" w14:paraId="4BEBCF45" w14:textId="77777777" w:rsidTr="00090132">
        <w:tc>
          <w:tcPr>
            <w:tcW w:w="3890" w:type="pct"/>
            <w:vAlign w:val="center"/>
          </w:tcPr>
          <w:p w14:paraId="362898CB"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4E7A7BCA" w14:textId="4D8CFE95" w:rsidR="00090132" w:rsidRPr="00781112" w:rsidRDefault="00090132" w:rsidP="00090132">
            <w:pPr>
              <w:jc w:val="center"/>
              <w:rPr>
                <w:rFonts w:cs="Arial"/>
                <w:color w:val="000000" w:themeColor="text1"/>
                <w:szCs w:val="16"/>
              </w:rPr>
            </w:pPr>
            <w:r w:rsidRPr="00781112">
              <w:rPr>
                <w:rFonts w:cs="Arial"/>
                <w:color w:val="000000" w:themeColor="text1"/>
                <w:szCs w:val="16"/>
              </w:rPr>
              <w:t>1,898</w:t>
            </w:r>
          </w:p>
        </w:tc>
      </w:tr>
      <w:tr w:rsidR="00090132" w:rsidRPr="00781112" w14:paraId="099154C0" w14:textId="77777777" w:rsidTr="00090132">
        <w:tc>
          <w:tcPr>
            <w:tcW w:w="3890" w:type="pct"/>
            <w:vAlign w:val="center"/>
          </w:tcPr>
          <w:p w14:paraId="5A4C399B" w14:textId="5923727A"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394AE71F" w14:textId="54DFC261" w:rsidR="00090132" w:rsidRPr="00781112" w:rsidRDefault="00090132" w:rsidP="00090132">
            <w:pPr>
              <w:jc w:val="center"/>
              <w:rPr>
                <w:rFonts w:cs="Arial"/>
                <w:color w:val="000000" w:themeColor="text1"/>
                <w:szCs w:val="16"/>
              </w:rPr>
            </w:pPr>
            <w:r w:rsidRPr="00ED172B">
              <w:rPr>
                <w:rFonts w:cs="Arial"/>
                <w:color w:val="000000" w:themeColor="text1"/>
                <w:szCs w:val="16"/>
              </w:rPr>
              <w:t>26.16%</w:t>
            </w:r>
          </w:p>
        </w:tc>
      </w:tr>
      <w:tr w:rsidR="00090132" w:rsidRPr="00781112" w14:paraId="5E0C2D8D" w14:textId="77777777" w:rsidTr="00090132">
        <w:tc>
          <w:tcPr>
            <w:tcW w:w="3890" w:type="pct"/>
            <w:vAlign w:val="center"/>
          </w:tcPr>
          <w:p w14:paraId="307B7092"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0A9A571A" w14:textId="2C7C274B" w:rsidR="00090132" w:rsidRPr="00781112" w:rsidRDefault="00090132" w:rsidP="00090132">
            <w:pPr>
              <w:jc w:val="center"/>
              <w:rPr>
                <w:rFonts w:cs="Arial"/>
                <w:color w:val="000000" w:themeColor="text1"/>
                <w:szCs w:val="16"/>
              </w:rPr>
            </w:pPr>
            <w:r w:rsidRPr="00781112">
              <w:rPr>
                <w:rFonts w:cs="Arial"/>
                <w:color w:val="000000" w:themeColor="text1"/>
                <w:szCs w:val="16"/>
              </w:rPr>
              <w:t>371</w:t>
            </w:r>
          </w:p>
        </w:tc>
      </w:tr>
      <w:tr w:rsidR="00090132" w:rsidRPr="00781112" w14:paraId="7827FDF9" w14:textId="77777777" w:rsidTr="00090132">
        <w:tc>
          <w:tcPr>
            <w:tcW w:w="3890" w:type="pct"/>
            <w:vAlign w:val="center"/>
          </w:tcPr>
          <w:p w14:paraId="143C6167"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competitively employed within one year of leaving high school </w:t>
            </w:r>
          </w:p>
        </w:tc>
        <w:tc>
          <w:tcPr>
            <w:tcW w:w="1110" w:type="pct"/>
            <w:vAlign w:val="center"/>
          </w:tcPr>
          <w:p w14:paraId="6B716476" w14:textId="340D4859" w:rsidR="00090132" w:rsidRPr="00781112" w:rsidRDefault="00090132" w:rsidP="00090132">
            <w:pPr>
              <w:jc w:val="center"/>
              <w:rPr>
                <w:rFonts w:cs="Arial"/>
                <w:color w:val="000000" w:themeColor="text1"/>
                <w:szCs w:val="16"/>
              </w:rPr>
            </w:pPr>
            <w:r w:rsidRPr="00781112">
              <w:rPr>
                <w:rFonts w:cs="Arial"/>
                <w:color w:val="000000" w:themeColor="text1"/>
                <w:szCs w:val="16"/>
              </w:rPr>
              <w:t>670</w:t>
            </w:r>
          </w:p>
        </w:tc>
      </w:tr>
      <w:tr w:rsidR="00090132" w:rsidRPr="00781112" w14:paraId="5F3556EC" w14:textId="77777777" w:rsidTr="00090132">
        <w:tc>
          <w:tcPr>
            <w:tcW w:w="3890" w:type="pct"/>
            <w:vAlign w:val="center"/>
          </w:tcPr>
          <w:p w14:paraId="31472415"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113FFF64" w14:textId="3A694BE0" w:rsidR="00090132" w:rsidRPr="00781112" w:rsidRDefault="00090132" w:rsidP="00090132">
            <w:pPr>
              <w:jc w:val="center"/>
              <w:rPr>
                <w:rFonts w:cs="Arial"/>
                <w:color w:val="000000" w:themeColor="text1"/>
                <w:szCs w:val="16"/>
              </w:rPr>
            </w:pPr>
            <w:r w:rsidRPr="00781112">
              <w:rPr>
                <w:rFonts w:cs="Arial"/>
                <w:color w:val="000000" w:themeColor="text1"/>
                <w:szCs w:val="16"/>
              </w:rPr>
              <w:t>111</w:t>
            </w:r>
          </w:p>
        </w:tc>
      </w:tr>
      <w:tr w:rsidR="00090132" w:rsidRPr="00781112" w14:paraId="781804C6" w14:textId="77777777" w:rsidTr="00090132">
        <w:tc>
          <w:tcPr>
            <w:tcW w:w="3890" w:type="pct"/>
            <w:vAlign w:val="center"/>
          </w:tcPr>
          <w:p w14:paraId="1C549366"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73A7669A" w14:textId="69DC744F" w:rsidR="00090132" w:rsidRPr="00781112" w:rsidRDefault="00090132" w:rsidP="00090132">
            <w:pPr>
              <w:jc w:val="center"/>
              <w:rPr>
                <w:rFonts w:cs="Arial"/>
                <w:color w:val="000000" w:themeColor="text1"/>
                <w:szCs w:val="16"/>
              </w:rPr>
            </w:pPr>
            <w:r w:rsidRPr="00781112">
              <w:rPr>
                <w:rFonts w:cs="Arial"/>
                <w:color w:val="000000" w:themeColor="text1"/>
                <w:szCs w:val="16"/>
              </w:rPr>
              <w:t>177</w:t>
            </w:r>
          </w:p>
        </w:tc>
      </w:tr>
    </w:tbl>
    <w:p w14:paraId="4C7C103F"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B1652C" w:rsidRPr="00781112" w14:paraId="5EEC1BAF" w14:textId="0A8A2949" w:rsidTr="0033429D">
        <w:trPr>
          <w:trHeight w:val="358"/>
          <w:tblHeader/>
        </w:trPr>
        <w:tc>
          <w:tcPr>
            <w:tcW w:w="625" w:type="pct"/>
            <w:shd w:val="clear" w:color="auto" w:fill="auto"/>
            <w:vAlign w:val="bottom"/>
          </w:tcPr>
          <w:p w14:paraId="4E882584" w14:textId="038C3477" w:rsidR="00B1652C" w:rsidRPr="00781112" w:rsidRDefault="00B1652C" w:rsidP="00B1652C">
            <w:pPr>
              <w:jc w:val="center"/>
              <w:rPr>
                <w:rFonts w:cs="Arial"/>
                <w:b/>
                <w:color w:val="000000" w:themeColor="text1"/>
                <w:szCs w:val="16"/>
              </w:rPr>
            </w:pPr>
            <w:r w:rsidRPr="00781112">
              <w:rPr>
                <w:rFonts w:cs="Arial"/>
                <w:b/>
                <w:color w:val="000000" w:themeColor="text1"/>
                <w:szCs w:val="16"/>
              </w:rPr>
              <w:t>Measure</w:t>
            </w:r>
          </w:p>
        </w:tc>
        <w:tc>
          <w:tcPr>
            <w:tcW w:w="625" w:type="pct"/>
            <w:shd w:val="clear" w:color="auto" w:fill="auto"/>
            <w:vAlign w:val="bottom"/>
          </w:tcPr>
          <w:p w14:paraId="5814109E"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w:t>
            </w:r>
          </w:p>
        </w:tc>
        <w:tc>
          <w:tcPr>
            <w:tcW w:w="625" w:type="pct"/>
            <w:shd w:val="clear" w:color="auto" w:fill="auto"/>
            <w:vAlign w:val="bottom"/>
          </w:tcPr>
          <w:p w14:paraId="14CE6B2C"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shd w:val="clear" w:color="auto" w:fill="auto"/>
            <w:vAlign w:val="bottom"/>
          </w:tcPr>
          <w:p w14:paraId="12E02A36" w14:textId="523422A9" w:rsidR="00B1652C" w:rsidRPr="006D0A52" w:rsidRDefault="00B1652C" w:rsidP="00B1652C">
            <w:pPr>
              <w:jc w:val="center"/>
              <w:rPr>
                <w:rFonts w:cs="Arial"/>
                <w:b/>
                <w:bCs/>
                <w:color w:val="000000" w:themeColor="text1"/>
                <w:szCs w:val="16"/>
              </w:rPr>
            </w:pPr>
            <w:r w:rsidRPr="006D0A52">
              <w:rPr>
                <w:b/>
                <w:bCs/>
              </w:rPr>
              <w:t>FFY 2020 Data</w:t>
            </w:r>
          </w:p>
        </w:tc>
        <w:tc>
          <w:tcPr>
            <w:tcW w:w="625" w:type="pct"/>
            <w:shd w:val="clear" w:color="auto" w:fill="auto"/>
            <w:vAlign w:val="bottom"/>
          </w:tcPr>
          <w:p w14:paraId="5152926B" w14:textId="35228357" w:rsidR="00B1652C" w:rsidRPr="006D0A52" w:rsidRDefault="00B1652C" w:rsidP="00B1652C">
            <w:pPr>
              <w:jc w:val="center"/>
              <w:rPr>
                <w:rFonts w:cs="Arial"/>
                <w:b/>
                <w:bCs/>
                <w:color w:val="000000" w:themeColor="text1"/>
                <w:szCs w:val="16"/>
              </w:rPr>
            </w:pPr>
            <w:r w:rsidRPr="006D0A52">
              <w:rPr>
                <w:b/>
                <w:bCs/>
              </w:rPr>
              <w:t>FFY 2021 Target</w:t>
            </w:r>
          </w:p>
        </w:tc>
        <w:tc>
          <w:tcPr>
            <w:tcW w:w="625" w:type="pct"/>
            <w:shd w:val="clear" w:color="auto" w:fill="auto"/>
            <w:vAlign w:val="bottom"/>
          </w:tcPr>
          <w:p w14:paraId="520BBB1B" w14:textId="08156133" w:rsidR="00B1652C" w:rsidRPr="006D0A52" w:rsidRDefault="00B1652C" w:rsidP="00B1652C">
            <w:pPr>
              <w:jc w:val="center"/>
              <w:rPr>
                <w:rFonts w:cs="Arial"/>
                <w:b/>
                <w:bCs/>
                <w:color w:val="000000" w:themeColor="text1"/>
                <w:szCs w:val="16"/>
              </w:rPr>
            </w:pPr>
            <w:r w:rsidRPr="006D0A52">
              <w:rPr>
                <w:b/>
                <w:bCs/>
              </w:rPr>
              <w:t>FFY 2021 Data</w:t>
            </w:r>
          </w:p>
        </w:tc>
        <w:tc>
          <w:tcPr>
            <w:tcW w:w="625" w:type="pct"/>
            <w:shd w:val="clear" w:color="auto" w:fill="auto"/>
            <w:vAlign w:val="bottom"/>
          </w:tcPr>
          <w:p w14:paraId="4E9CD96E" w14:textId="648B12F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625" w:type="pct"/>
            <w:shd w:val="clear" w:color="auto" w:fill="auto"/>
            <w:vAlign w:val="bottom"/>
          </w:tcPr>
          <w:p w14:paraId="715E8BB1" w14:textId="2FE9D03B"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2526E003" w14:textId="5321EBA7" w:rsidTr="0033429D">
        <w:trPr>
          <w:trHeight w:val="365"/>
        </w:trPr>
        <w:tc>
          <w:tcPr>
            <w:tcW w:w="625" w:type="pct"/>
            <w:shd w:val="clear" w:color="auto" w:fill="auto"/>
            <w:vAlign w:val="center"/>
          </w:tcPr>
          <w:p w14:paraId="4322DAA7" w14:textId="775B971A"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shd w:val="clear" w:color="auto" w:fill="auto"/>
            <w:vAlign w:val="center"/>
          </w:tcPr>
          <w:p w14:paraId="2B2B0998" w14:textId="349D0F93" w:rsidR="00C66181" w:rsidRPr="00781112" w:rsidRDefault="002B7490" w:rsidP="00A018D4">
            <w:pPr>
              <w:jc w:val="center"/>
              <w:rPr>
                <w:rFonts w:cs="Arial"/>
                <w:color w:val="000000" w:themeColor="text1"/>
                <w:szCs w:val="16"/>
              </w:rPr>
            </w:pPr>
            <w:r w:rsidRPr="00781112">
              <w:rPr>
                <w:rFonts w:cs="Arial"/>
                <w:color w:val="000000" w:themeColor="text1"/>
                <w:szCs w:val="16"/>
              </w:rPr>
              <w:t>371</w:t>
            </w:r>
          </w:p>
        </w:tc>
        <w:tc>
          <w:tcPr>
            <w:tcW w:w="625" w:type="pct"/>
            <w:shd w:val="clear" w:color="auto" w:fill="auto"/>
            <w:vAlign w:val="center"/>
          </w:tcPr>
          <w:p w14:paraId="2D1BC64A" w14:textId="15C5A024" w:rsidR="00C66181" w:rsidRPr="00781112" w:rsidRDefault="002B7490" w:rsidP="00A018D4">
            <w:pPr>
              <w:jc w:val="center"/>
              <w:rPr>
                <w:rFonts w:cs="Arial"/>
                <w:color w:val="000000" w:themeColor="text1"/>
                <w:szCs w:val="16"/>
              </w:rPr>
            </w:pPr>
            <w:r w:rsidRPr="00781112">
              <w:rPr>
                <w:rFonts w:cs="Arial"/>
                <w:color w:val="000000" w:themeColor="text1"/>
                <w:szCs w:val="16"/>
              </w:rPr>
              <w:t>1,898</w:t>
            </w:r>
          </w:p>
        </w:tc>
        <w:tc>
          <w:tcPr>
            <w:tcW w:w="625" w:type="pct"/>
            <w:shd w:val="clear" w:color="auto" w:fill="auto"/>
            <w:vAlign w:val="center"/>
          </w:tcPr>
          <w:p w14:paraId="3243FB0B" w14:textId="028EEEBB" w:rsidR="00C66181" w:rsidRPr="00781112" w:rsidRDefault="002B7490" w:rsidP="00A018D4">
            <w:pPr>
              <w:jc w:val="center"/>
              <w:rPr>
                <w:rFonts w:cs="Arial"/>
                <w:color w:val="000000" w:themeColor="text1"/>
                <w:szCs w:val="16"/>
              </w:rPr>
            </w:pPr>
            <w:r w:rsidRPr="00781112">
              <w:rPr>
                <w:rFonts w:cs="Arial"/>
                <w:color w:val="000000" w:themeColor="text1"/>
                <w:szCs w:val="16"/>
              </w:rPr>
              <w:t>20.02%</w:t>
            </w:r>
          </w:p>
        </w:tc>
        <w:tc>
          <w:tcPr>
            <w:tcW w:w="625" w:type="pct"/>
            <w:shd w:val="clear" w:color="auto" w:fill="auto"/>
            <w:vAlign w:val="center"/>
          </w:tcPr>
          <w:p w14:paraId="7BCB140B" w14:textId="02D0AFDC" w:rsidR="00C66181" w:rsidRPr="00781112" w:rsidRDefault="002B7490" w:rsidP="00A018D4">
            <w:pPr>
              <w:jc w:val="center"/>
              <w:rPr>
                <w:rFonts w:cs="Arial"/>
                <w:color w:val="000000" w:themeColor="text1"/>
                <w:szCs w:val="16"/>
              </w:rPr>
            </w:pPr>
            <w:r w:rsidRPr="00781112">
              <w:rPr>
                <w:rFonts w:cs="Arial"/>
                <w:color w:val="000000" w:themeColor="text1"/>
                <w:szCs w:val="16"/>
              </w:rPr>
              <w:t>21.00%</w:t>
            </w:r>
          </w:p>
        </w:tc>
        <w:tc>
          <w:tcPr>
            <w:tcW w:w="625" w:type="pct"/>
            <w:shd w:val="clear" w:color="auto" w:fill="auto"/>
            <w:vAlign w:val="center"/>
          </w:tcPr>
          <w:p w14:paraId="0D6600A4" w14:textId="4E0FD8C8" w:rsidR="00C66181" w:rsidRPr="00781112" w:rsidRDefault="002B7490" w:rsidP="00A018D4">
            <w:pPr>
              <w:jc w:val="center"/>
              <w:rPr>
                <w:rFonts w:cs="Arial"/>
                <w:color w:val="000000" w:themeColor="text1"/>
                <w:szCs w:val="16"/>
              </w:rPr>
            </w:pPr>
            <w:r w:rsidRPr="00781112">
              <w:rPr>
                <w:rFonts w:cs="Arial"/>
                <w:color w:val="000000" w:themeColor="text1"/>
                <w:szCs w:val="16"/>
              </w:rPr>
              <w:t>19.55%</w:t>
            </w:r>
          </w:p>
        </w:tc>
        <w:tc>
          <w:tcPr>
            <w:tcW w:w="625" w:type="pct"/>
            <w:shd w:val="clear" w:color="auto" w:fill="auto"/>
            <w:vAlign w:val="center"/>
          </w:tcPr>
          <w:p w14:paraId="3C766484" w14:textId="7B272BC5"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575A444D" w14:textId="78F1C14C"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0D8194" w14:textId="3CFB279F" w:rsidTr="0033429D">
        <w:trPr>
          <w:trHeight w:val="365"/>
        </w:trPr>
        <w:tc>
          <w:tcPr>
            <w:tcW w:w="625" w:type="pct"/>
            <w:shd w:val="clear" w:color="auto" w:fill="auto"/>
            <w:vAlign w:val="center"/>
          </w:tcPr>
          <w:p w14:paraId="64A6757D" w14:textId="0FC0A9B9" w:rsidR="00C66181" w:rsidRPr="00781112" w:rsidRDefault="00C66181" w:rsidP="00C66181">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shd w:val="clear" w:color="auto" w:fill="auto"/>
            <w:vAlign w:val="center"/>
          </w:tcPr>
          <w:p w14:paraId="60F6248F" w14:textId="7EC302DD" w:rsidR="00C66181" w:rsidRPr="00781112" w:rsidRDefault="002B7490" w:rsidP="00A018D4">
            <w:pPr>
              <w:jc w:val="center"/>
              <w:rPr>
                <w:rFonts w:cs="Arial"/>
                <w:color w:val="000000" w:themeColor="text1"/>
                <w:szCs w:val="16"/>
              </w:rPr>
            </w:pPr>
            <w:r w:rsidRPr="00781112">
              <w:rPr>
                <w:rFonts w:cs="Arial"/>
                <w:color w:val="000000" w:themeColor="text1"/>
                <w:szCs w:val="16"/>
              </w:rPr>
              <w:t>1,041</w:t>
            </w:r>
          </w:p>
        </w:tc>
        <w:tc>
          <w:tcPr>
            <w:tcW w:w="625" w:type="pct"/>
            <w:shd w:val="clear" w:color="auto" w:fill="auto"/>
            <w:vAlign w:val="center"/>
          </w:tcPr>
          <w:p w14:paraId="5DE56E38" w14:textId="525AF49A" w:rsidR="00C66181" w:rsidRPr="00781112" w:rsidRDefault="002B7490" w:rsidP="00A018D4">
            <w:pPr>
              <w:jc w:val="center"/>
              <w:rPr>
                <w:rFonts w:cs="Arial"/>
                <w:color w:val="000000" w:themeColor="text1"/>
                <w:szCs w:val="16"/>
              </w:rPr>
            </w:pPr>
            <w:r w:rsidRPr="00781112">
              <w:rPr>
                <w:rFonts w:cs="Arial"/>
                <w:color w:val="000000" w:themeColor="text1"/>
                <w:szCs w:val="16"/>
              </w:rPr>
              <w:t>1,898</w:t>
            </w:r>
          </w:p>
        </w:tc>
        <w:tc>
          <w:tcPr>
            <w:tcW w:w="625" w:type="pct"/>
            <w:shd w:val="clear" w:color="auto" w:fill="auto"/>
            <w:vAlign w:val="center"/>
          </w:tcPr>
          <w:p w14:paraId="7FF1FC54" w14:textId="2A5DA1E3" w:rsidR="00C66181" w:rsidRPr="00781112" w:rsidRDefault="002B7490" w:rsidP="00A018D4">
            <w:pPr>
              <w:jc w:val="center"/>
              <w:rPr>
                <w:rFonts w:cs="Arial"/>
                <w:color w:val="000000" w:themeColor="text1"/>
                <w:szCs w:val="16"/>
              </w:rPr>
            </w:pPr>
            <w:r w:rsidRPr="00781112">
              <w:rPr>
                <w:rFonts w:cs="Arial"/>
                <w:color w:val="000000" w:themeColor="text1"/>
                <w:szCs w:val="16"/>
              </w:rPr>
              <w:t>54.72%</w:t>
            </w:r>
          </w:p>
        </w:tc>
        <w:tc>
          <w:tcPr>
            <w:tcW w:w="625" w:type="pct"/>
            <w:shd w:val="clear" w:color="auto" w:fill="auto"/>
            <w:vAlign w:val="center"/>
          </w:tcPr>
          <w:p w14:paraId="296C6AD3" w14:textId="560D60D3" w:rsidR="00C66181" w:rsidRPr="00781112" w:rsidRDefault="002B7490" w:rsidP="00A018D4">
            <w:pPr>
              <w:jc w:val="center"/>
              <w:rPr>
                <w:rFonts w:cs="Arial"/>
                <w:color w:val="000000" w:themeColor="text1"/>
                <w:szCs w:val="16"/>
              </w:rPr>
            </w:pPr>
            <w:r w:rsidRPr="00781112">
              <w:rPr>
                <w:rFonts w:cs="Arial"/>
                <w:color w:val="000000" w:themeColor="text1"/>
                <w:szCs w:val="16"/>
              </w:rPr>
              <w:t>55.00%</w:t>
            </w:r>
          </w:p>
        </w:tc>
        <w:tc>
          <w:tcPr>
            <w:tcW w:w="625" w:type="pct"/>
            <w:shd w:val="clear" w:color="auto" w:fill="auto"/>
            <w:vAlign w:val="center"/>
          </w:tcPr>
          <w:p w14:paraId="54BDC44C" w14:textId="0AE0B920" w:rsidR="00C66181" w:rsidRPr="00781112" w:rsidRDefault="002B7490" w:rsidP="00A018D4">
            <w:pPr>
              <w:jc w:val="center"/>
              <w:rPr>
                <w:rFonts w:cs="Arial"/>
                <w:color w:val="000000" w:themeColor="text1"/>
                <w:szCs w:val="16"/>
              </w:rPr>
            </w:pPr>
            <w:r w:rsidRPr="00781112">
              <w:rPr>
                <w:rFonts w:cs="Arial"/>
                <w:color w:val="000000" w:themeColor="text1"/>
                <w:szCs w:val="16"/>
              </w:rPr>
              <w:t>54.85%</w:t>
            </w:r>
          </w:p>
        </w:tc>
        <w:tc>
          <w:tcPr>
            <w:tcW w:w="625" w:type="pct"/>
            <w:shd w:val="clear" w:color="auto" w:fill="auto"/>
            <w:vAlign w:val="center"/>
          </w:tcPr>
          <w:p w14:paraId="48B49570" w14:textId="038E3826"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0A2BDCF3" w14:textId="3B0044C6"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3DA09A" w14:textId="4FC8161E" w:rsidTr="0033429D">
        <w:trPr>
          <w:trHeight w:val="365"/>
        </w:trPr>
        <w:tc>
          <w:tcPr>
            <w:tcW w:w="625" w:type="pct"/>
            <w:shd w:val="clear" w:color="auto" w:fill="auto"/>
            <w:vAlign w:val="center"/>
          </w:tcPr>
          <w:p w14:paraId="3D517963" w14:textId="6D3BD99F" w:rsidR="00C66181" w:rsidRPr="00781112" w:rsidRDefault="00C66181" w:rsidP="00C66181">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shd w:val="clear" w:color="auto" w:fill="auto"/>
            <w:vAlign w:val="center"/>
          </w:tcPr>
          <w:p w14:paraId="79AA91FE" w14:textId="0803E2EE" w:rsidR="00C66181" w:rsidRPr="00781112" w:rsidRDefault="002B7490" w:rsidP="00A018D4">
            <w:pPr>
              <w:jc w:val="center"/>
              <w:rPr>
                <w:rFonts w:cs="Arial"/>
                <w:color w:val="000000" w:themeColor="text1"/>
                <w:szCs w:val="16"/>
              </w:rPr>
            </w:pPr>
            <w:r w:rsidRPr="00781112">
              <w:rPr>
                <w:rFonts w:cs="Arial"/>
                <w:color w:val="000000" w:themeColor="text1"/>
                <w:szCs w:val="16"/>
              </w:rPr>
              <w:t>1,329</w:t>
            </w:r>
          </w:p>
        </w:tc>
        <w:tc>
          <w:tcPr>
            <w:tcW w:w="625" w:type="pct"/>
            <w:shd w:val="clear" w:color="auto" w:fill="auto"/>
            <w:vAlign w:val="center"/>
          </w:tcPr>
          <w:p w14:paraId="1FAFC4F9" w14:textId="70DE7F33" w:rsidR="00C66181" w:rsidRPr="00781112" w:rsidRDefault="002B7490" w:rsidP="00A018D4">
            <w:pPr>
              <w:jc w:val="center"/>
              <w:rPr>
                <w:rFonts w:cs="Arial"/>
                <w:color w:val="000000" w:themeColor="text1"/>
                <w:szCs w:val="16"/>
              </w:rPr>
            </w:pPr>
            <w:r w:rsidRPr="00781112">
              <w:rPr>
                <w:rFonts w:cs="Arial"/>
                <w:color w:val="000000" w:themeColor="text1"/>
                <w:szCs w:val="16"/>
              </w:rPr>
              <w:t>1,898</w:t>
            </w:r>
          </w:p>
        </w:tc>
        <w:tc>
          <w:tcPr>
            <w:tcW w:w="625" w:type="pct"/>
            <w:shd w:val="clear" w:color="auto" w:fill="auto"/>
            <w:vAlign w:val="center"/>
          </w:tcPr>
          <w:p w14:paraId="5FB73F1B" w14:textId="26275AAA" w:rsidR="00C66181" w:rsidRPr="00781112" w:rsidRDefault="002B7490" w:rsidP="00A018D4">
            <w:pPr>
              <w:jc w:val="center"/>
              <w:rPr>
                <w:rFonts w:cs="Arial"/>
                <w:color w:val="000000" w:themeColor="text1"/>
                <w:szCs w:val="16"/>
              </w:rPr>
            </w:pPr>
            <w:r w:rsidRPr="00781112">
              <w:rPr>
                <w:rFonts w:cs="Arial"/>
                <w:color w:val="000000" w:themeColor="text1"/>
                <w:szCs w:val="16"/>
              </w:rPr>
              <w:t>64.73%</w:t>
            </w:r>
          </w:p>
        </w:tc>
        <w:tc>
          <w:tcPr>
            <w:tcW w:w="625" w:type="pct"/>
            <w:shd w:val="clear" w:color="auto" w:fill="auto"/>
            <w:vAlign w:val="center"/>
          </w:tcPr>
          <w:p w14:paraId="3A75A593" w14:textId="74B21849" w:rsidR="00C66181" w:rsidRPr="00781112" w:rsidRDefault="002B7490" w:rsidP="00A018D4">
            <w:pPr>
              <w:jc w:val="center"/>
              <w:rPr>
                <w:rFonts w:cs="Arial"/>
                <w:color w:val="000000" w:themeColor="text1"/>
                <w:szCs w:val="16"/>
              </w:rPr>
            </w:pPr>
            <w:r w:rsidRPr="00781112">
              <w:rPr>
                <w:rFonts w:cs="Arial"/>
                <w:color w:val="000000" w:themeColor="text1"/>
                <w:szCs w:val="16"/>
              </w:rPr>
              <w:t>66.00%</w:t>
            </w:r>
          </w:p>
        </w:tc>
        <w:tc>
          <w:tcPr>
            <w:tcW w:w="625" w:type="pct"/>
            <w:shd w:val="clear" w:color="auto" w:fill="auto"/>
            <w:vAlign w:val="center"/>
          </w:tcPr>
          <w:p w14:paraId="6D78DA3F" w14:textId="61DB3CB1" w:rsidR="00C66181" w:rsidRPr="00781112" w:rsidRDefault="002B7490" w:rsidP="00A018D4">
            <w:pPr>
              <w:jc w:val="center"/>
              <w:rPr>
                <w:rFonts w:cs="Arial"/>
                <w:color w:val="000000" w:themeColor="text1"/>
                <w:szCs w:val="16"/>
              </w:rPr>
            </w:pPr>
            <w:r w:rsidRPr="00781112">
              <w:rPr>
                <w:rFonts w:cs="Arial"/>
                <w:color w:val="000000" w:themeColor="text1"/>
                <w:szCs w:val="16"/>
              </w:rPr>
              <w:t>70.02%</w:t>
            </w:r>
          </w:p>
        </w:tc>
        <w:tc>
          <w:tcPr>
            <w:tcW w:w="625" w:type="pct"/>
            <w:shd w:val="clear" w:color="auto" w:fill="auto"/>
            <w:vAlign w:val="center"/>
          </w:tcPr>
          <w:p w14:paraId="6E5BDC78" w14:textId="48EDE622" w:rsidR="00C66181"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5" w:type="pct"/>
            <w:shd w:val="clear" w:color="auto" w:fill="auto"/>
            <w:vAlign w:val="center"/>
          </w:tcPr>
          <w:p w14:paraId="4A054D72" w14:textId="19B24E43"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A5381A2" w14:textId="3787227C" w:rsidR="001773E7" w:rsidRPr="00781112" w:rsidRDefault="001773E7" w:rsidP="00C66181">
      <w:pPr>
        <w:rPr>
          <w:rFonts w:cs="Arial"/>
          <w:i/>
          <w:color w:val="000000" w:themeColor="text1"/>
          <w:szCs w:val="16"/>
        </w:rPr>
      </w:pPr>
    </w:p>
    <w:p w14:paraId="2B9D1101" w14:textId="12285E81"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5C46FD26" w14:textId="5673980D" w:rsidR="000070D5" w:rsidRPr="00781112" w:rsidRDefault="002B7490" w:rsidP="00C66181">
      <w:pPr>
        <w:rPr>
          <w:rFonts w:cs="Arial"/>
          <w:color w:val="000000" w:themeColor="text1"/>
          <w:szCs w:val="16"/>
        </w:rPr>
      </w:pPr>
      <w:r w:rsidRPr="00781112">
        <w:rPr>
          <w:rFonts w:cs="Arial"/>
          <w:color w:val="000000" w:themeColor="text1"/>
          <w:szCs w:val="16"/>
        </w:rPr>
        <w:t>Option 2: Report in alignment with the term “competitive integrated employment” and its definition, in section 7(5) of the Rehabilitation Act, as amended by Workforce Innovation and Opportunity Act (WIOA), and 34 CFR §361.5(c)(9).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6A816945" w14:textId="687D218F" w:rsidR="00090132" w:rsidRDefault="00090132" w:rsidP="00C66181">
      <w:pPr>
        <w:rPr>
          <w:rFonts w:cs="Arial"/>
          <w:color w:val="000000" w:themeColor="text1"/>
          <w:szCs w:val="16"/>
        </w:rPr>
      </w:pPr>
    </w:p>
    <w:p w14:paraId="18E71DFF"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1453"/>
        <w:gridCol w:w="1284"/>
      </w:tblGrid>
      <w:tr w:rsidR="00090132" w:rsidRPr="00353E62" w14:paraId="5280416F" w14:textId="77777777" w:rsidTr="00DF5DC9">
        <w:tc>
          <w:tcPr>
            <w:tcW w:w="1885" w:type="dxa"/>
            <w:shd w:val="clear" w:color="auto" w:fill="auto"/>
          </w:tcPr>
          <w:p w14:paraId="7576786E" w14:textId="77777777" w:rsidR="00090132" w:rsidRPr="008D51F2" w:rsidRDefault="00090132" w:rsidP="00DF5DC9">
            <w:pPr>
              <w:jc w:val="center"/>
              <w:rPr>
                <w:rFonts w:cs="Arial"/>
                <w:b/>
                <w:szCs w:val="16"/>
              </w:rPr>
            </w:pPr>
            <w:r w:rsidRPr="008D51F2">
              <w:rPr>
                <w:rFonts w:cs="Arial"/>
                <w:b/>
                <w:szCs w:val="16"/>
              </w:rPr>
              <w:t>FFY</w:t>
            </w:r>
          </w:p>
        </w:tc>
        <w:tc>
          <w:tcPr>
            <w:tcW w:w="1453" w:type="dxa"/>
            <w:shd w:val="clear" w:color="auto" w:fill="auto"/>
            <w:vAlign w:val="center"/>
          </w:tcPr>
          <w:p w14:paraId="5CF70806" w14:textId="77777777" w:rsidR="00090132" w:rsidRPr="008D51F2" w:rsidRDefault="00090132" w:rsidP="00DF5DC9">
            <w:pPr>
              <w:jc w:val="center"/>
              <w:rPr>
                <w:rFonts w:cs="Arial"/>
                <w:b/>
                <w:szCs w:val="16"/>
              </w:rPr>
            </w:pPr>
            <w:r w:rsidRPr="008D51F2">
              <w:rPr>
                <w:rFonts w:cs="Arial"/>
                <w:b/>
                <w:color w:val="000000" w:themeColor="text1"/>
                <w:szCs w:val="16"/>
              </w:rPr>
              <w:t>2020</w:t>
            </w:r>
          </w:p>
        </w:tc>
        <w:tc>
          <w:tcPr>
            <w:tcW w:w="1284" w:type="dxa"/>
            <w:shd w:val="clear" w:color="auto" w:fill="auto"/>
          </w:tcPr>
          <w:p w14:paraId="0BFBB5F5" w14:textId="77777777" w:rsidR="00090132" w:rsidRPr="008D51F2" w:rsidRDefault="00090132" w:rsidP="00DF5DC9">
            <w:pPr>
              <w:jc w:val="center"/>
              <w:rPr>
                <w:rFonts w:cs="Arial"/>
                <w:b/>
                <w:szCs w:val="16"/>
              </w:rPr>
            </w:pPr>
            <w:r w:rsidRPr="008D51F2">
              <w:rPr>
                <w:rFonts w:cs="Arial"/>
                <w:b/>
                <w:color w:val="000000" w:themeColor="text1"/>
                <w:szCs w:val="16"/>
              </w:rPr>
              <w:t>2021</w:t>
            </w:r>
          </w:p>
        </w:tc>
      </w:tr>
      <w:tr w:rsidR="00090132" w14:paraId="576CCA3B" w14:textId="77777777" w:rsidTr="00DF5DC9">
        <w:tc>
          <w:tcPr>
            <w:tcW w:w="1885" w:type="dxa"/>
            <w:shd w:val="clear" w:color="auto" w:fill="auto"/>
          </w:tcPr>
          <w:p w14:paraId="1D5B1977" w14:textId="77777777" w:rsidR="00090132" w:rsidRPr="008D51F2" w:rsidRDefault="00090132" w:rsidP="00DF5DC9">
            <w:pPr>
              <w:rPr>
                <w:rFonts w:cs="Arial"/>
                <w:szCs w:val="16"/>
              </w:rPr>
            </w:pPr>
            <w:r w:rsidRPr="008D51F2">
              <w:rPr>
                <w:rFonts w:cs="Arial"/>
                <w:szCs w:val="16"/>
              </w:rPr>
              <w:t xml:space="preserve">Response Rate </w:t>
            </w:r>
          </w:p>
        </w:tc>
        <w:tc>
          <w:tcPr>
            <w:tcW w:w="1453" w:type="dxa"/>
            <w:shd w:val="clear" w:color="auto" w:fill="auto"/>
            <w:vAlign w:val="center"/>
          </w:tcPr>
          <w:p w14:paraId="4AECB169" w14:textId="3ECBE4F7" w:rsidR="00090132" w:rsidRPr="008D51F2" w:rsidRDefault="00090132" w:rsidP="00DF5DC9">
            <w:pPr>
              <w:jc w:val="center"/>
              <w:rPr>
                <w:rFonts w:cs="Arial"/>
                <w:szCs w:val="16"/>
              </w:rPr>
            </w:pPr>
            <w:r w:rsidRPr="008D51F2">
              <w:rPr>
                <w:color w:val="000000" w:themeColor="text1"/>
              </w:rPr>
              <w:t>15.52%</w:t>
            </w:r>
          </w:p>
        </w:tc>
        <w:tc>
          <w:tcPr>
            <w:tcW w:w="1284" w:type="dxa"/>
            <w:shd w:val="clear" w:color="auto" w:fill="auto"/>
            <w:vAlign w:val="center"/>
          </w:tcPr>
          <w:p w14:paraId="755EF869" w14:textId="2F1BA7D5" w:rsidR="00090132" w:rsidRPr="008D51F2" w:rsidRDefault="00090132" w:rsidP="00DF5DC9">
            <w:pPr>
              <w:jc w:val="center"/>
              <w:rPr>
                <w:rFonts w:cs="Arial"/>
                <w:szCs w:val="16"/>
              </w:rPr>
            </w:pPr>
            <w:r w:rsidRPr="008D51F2">
              <w:rPr>
                <w:rFonts w:cs="Arial"/>
                <w:color w:val="000000" w:themeColor="text1"/>
                <w:szCs w:val="16"/>
              </w:rPr>
              <w:t>26.16%</w:t>
            </w:r>
          </w:p>
        </w:tc>
      </w:tr>
    </w:tbl>
    <w:p w14:paraId="03971D78"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57522483" w14:textId="77777777" w:rsidR="00090132" w:rsidRPr="00002B33" w:rsidRDefault="00090132" w:rsidP="00090132">
      <w:pPr>
        <w:rPr>
          <w:b/>
          <w:bCs/>
        </w:rPr>
      </w:pPr>
      <w:r w:rsidRPr="00002B33">
        <w:rPr>
          <w:b/>
          <w:bCs/>
        </w:rPr>
        <w:t>Describe strategies that will be implemented which are expected to increase the response rate year over year, particularly for those groups that are underrepresented.</w:t>
      </w:r>
    </w:p>
    <w:p w14:paraId="054F9DF8" w14:textId="77777777" w:rsidR="00090132" w:rsidRPr="00B551F2" w:rsidRDefault="00090132" w:rsidP="00090132">
      <w:r w:rsidRPr="00B551F2">
        <w:t xml:space="preserve">The response rate increased substantially by several percentage points this year. The pool of possible respondents included all secondary school leavers in SY 2020-21 aged 16 and older. 7254 individuals were included in the list and all contact information was shared with the contracted polling organization. Of these, 1898 could be contacted and were willing to respond. OSDE-SES is pleased with this substantial increase in response rate, although it recognizes that this rate may not be sufficient to ensure representation of all special education school leavers for the state or LEAs. In particular, students who exited by dropping out were significantly less likely to respond to the survey (or to have accurate contact information) and are underrepresented in the results. </w:t>
      </w:r>
      <w:r w:rsidRPr="00B551F2">
        <w:br/>
      </w:r>
      <w:r w:rsidRPr="00B551F2">
        <w:br/>
        <w:t xml:space="preserve">OSDE-SES has directed its contracted polling organization to conduct surveys equitably, regardless of student demographics. All exiters are contacted in a variety of ways, and weighted sampling is not conducted. The polling organization attempts to contact students multiple times if the contact information is not "unreachable." We expect that if the response rate increases through the efforts described previously, then the respondent pool will continue to become more representative. Unfortunately, if underrepresented students (such as drop-outs) are more likely to have their contact information change after exiting high school, those students will be less likely to respond to the survey, and those groups will continue to be underrepresented. </w:t>
      </w:r>
      <w:r w:rsidRPr="00B551F2">
        <w:br/>
      </w:r>
      <w:r w:rsidRPr="00B551F2">
        <w:br/>
        <w:t>The state has worked to improve contact information by encouraging LEAs to update contacts at the end of students' senior year. Oklahoma has also encouraged LEAs to collect their own survey responses. The 57 LEAs that conducted their own surveys in the most recent cycle had an average response rate of 62.8 percent, much higher than the state average (and when compared to the 23.2 percent response rate for contracted survey gathering). LEAs who make their own calls have found it easier to find missing contact information or to update that information when it has changed, ensuring that more students are included in the response pool.</w:t>
      </w:r>
    </w:p>
    <w:p w14:paraId="5A6BE78B"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789E9F07" w14:textId="77777777" w:rsidR="00090132" w:rsidRPr="00B551F2" w:rsidRDefault="00090132" w:rsidP="00090132">
      <w:r w:rsidRPr="00B551F2">
        <w:t xml:space="preserve">The state has identified the potential for nonresponse bias in the survey results in two areas. The first is related to Black/African-American respondents, who were slightly but significantly less represented among respondents than in the population of exiters (a difference of 1.57 percent). They are over-represented in the set of non-respondents as a result. Importantly, Black respondents have lower rates of engagement than other groups, with 42 percent in Measure B and 61 percent in Measure C. These rates are significantly lower than other groups’ rates of education and employment engagement, which all hover around the state summary rates. If more Black students participated in the survey, it is possible that the overall state rates for Measures B and C would be lower. (But only if the population of non-respondents is the same as respondents.) </w:t>
      </w:r>
      <w:r w:rsidRPr="00B551F2">
        <w:br/>
      </w:r>
      <w:r w:rsidRPr="00B551F2">
        <w:br/>
        <w:t>The second area with potential nonresponse bias is related to the reason for exiting. Students who exited by dropping out of school and who answered the survey were substantially less likely to be engaged: a mere one percent reported being enrolled in higher education, while 37 percent fell into Measure B and 47 percent in Measure C. These engagement rates are significantly lower than for graduates, who reported engagement at 20%-60%-71% A-B-C rates. If the population of non-respondents is the same as respondents, then the summary state rates for all three indicator 14 measures could be lower if more dropouts responded to the survey.</w:t>
      </w:r>
      <w:r w:rsidRPr="00B551F2">
        <w:br/>
      </w:r>
      <w:r w:rsidRPr="00B551F2">
        <w:br/>
        <w:t xml:space="preserve">However, we are not able to know if non-respondents have the same characteristics as respondents, and do not know whether they are engaged in education or employment at the same rates as respondents. Thus, there is only potential non-response bias and none has been definitively identified. </w:t>
      </w:r>
      <w:r w:rsidRPr="00B551F2">
        <w:br/>
      </w:r>
      <w:r w:rsidRPr="00B551F2">
        <w:br/>
        <w:t>The state’s solution to resolving potential non-response bias is to continue to increase the response rate to include more respondents of all types.</w:t>
      </w:r>
    </w:p>
    <w:p w14:paraId="16C9E9FA" w14:textId="77777777" w:rsidR="00F03088" w:rsidRPr="00F03088" w:rsidRDefault="00F03088" w:rsidP="00F03088">
      <w:pPr>
        <w:spacing w:before="0"/>
        <w:rPr>
          <w:rFonts w:eastAsia="Times New Roman" w:cs="Arial"/>
          <w:b/>
          <w:bCs/>
          <w:szCs w:val="16"/>
        </w:rPr>
      </w:pPr>
      <w:r w:rsidRPr="00F03088">
        <w:rPr>
          <w:b/>
          <w:bCs/>
        </w:rPr>
        <w:t>Include the State’s analyses of the extent to which the response data are representative of the demographics of youth who are no longer in secondary school and had IEPs in effect at the time they left school.</w:t>
      </w:r>
      <w:r w:rsidRPr="00F03088">
        <w:rPr>
          <w:rFonts w:eastAsia="Times New Roman" w:cs="Arial"/>
          <w:b/>
          <w:bCs/>
          <w:szCs w:val="16"/>
        </w:rPr>
        <w:t xml:space="preserve"> States must include race/ethnicity in its analysis. In addition, the State’s analysis must include at least one of the following demographics: disability category, gender, geographic location, and/or another demographic category approved through the stakeholder input process.</w:t>
      </w:r>
    </w:p>
    <w:p w14:paraId="73A0DF3C" w14:textId="77777777" w:rsidR="00090132" w:rsidRPr="00560FEE" w:rsidRDefault="00090132" w:rsidP="00090132">
      <w:r w:rsidRPr="008D51F2">
        <w:t xml:space="preserve">As shown in the demographic comparisons below, the pool of respondents resembles the sampling frame in most categories. Significance tests were conducted to assess whether the differences in proportions between the entire population and the respondents were significant. Three comparisons stand out. First, as shown in Table 1, females' response rate is lower than the rate for the population of exiters, and the difference is statistically significant. </w:t>
      </w:r>
      <w:r w:rsidRPr="008D51F2">
        <w:br/>
      </w:r>
      <w:r w:rsidRPr="008D51F2">
        <w:br/>
        <w:t>Table 1:</w:t>
      </w:r>
      <w:r w:rsidRPr="008D51F2">
        <w:br/>
        <w:t>Gender; Population#; Pop Rate; Response#; Resp Rate; Diff in Rates; P-Value</w:t>
      </w:r>
      <w:r w:rsidRPr="008D51F2">
        <w:br/>
        <w:t>ALL   7254   1898</w:t>
      </w:r>
      <w:r w:rsidRPr="008D51F2">
        <w:br/>
        <w:t>Female 2663 0.3671 648   0.3414 -2.57% 0.03846</w:t>
      </w:r>
      <w:r w:rsidRPr="008D51F2">
        <w:br/>
        <w:t>Male 4591 0.6329 1250 0.6586 2.57% 0.03846</w:t>
      </w:r>
      <w:r w:rsidRPr="008D51F2">
        <w:br/>
      </w:r>
      <w:r w:rsidRPr="008D51F2">
        <w:br/>
        <w:t>Regarding race and ethnicity representation (Table 2): the difference in the response rate for White students compared to their population rate was significant, as it was for African-American students. Students identifying with other racial groups were not significantly less likely to respond. Overall, the response pool closely mirrors the distribution of race identify in the population of exiters.</w:t>
      </w:r>
      <w:r w:rsidRPr="008D51F2">
        <w:br/>
      </w:r>
      <w:r w:rsidRPr="008D51F2">
        <w:br/>
        <w:t>Table 2:</w:t>
      </w:r>
      <w:r w:rsidRPr="008D51F2">
        <w:br/>
        <w:t>Race/Ethnicity; Population#; Pop Rate; Response#; Resp Rate; Diff in Rates; P-Value</w:t>
      </w:r>
      <w:r w:rsidRPr="008D51F2">
        <w:br/>
        <w:t>ALL     7254    1898</w:t>
      </w:r>
      <w:r w:rsidRPr="008D51F2">
        <w:br/>
        <w:t>Asian    62   0.0085 14  0.0074 -0.12% 0.61708</w:t>
      </w:r>
      <w:r w:rsidRPr="008D51F2">
        <w:br/>
        <w:t>Black    752   0.1037 167  0.0880 -1.57% 0.04338</w:t>
      </w:r>
      <w:r w:rsidRPr="008D51F2">
        <w:br/>
        <w:t>Hispanic/Latino 1021 0.1407 253  0.1333 -0.75% 0.40654</w:t>
      </w:r>
      <w:r w:rsidRPr="008D51F2">
        <w:br/>
        <w:t>Native American 1047 0.1443 282  0.1486 0.42% 0.63836</w:t>
      </w:r>
      <w:r w:rsidRPr="008D51F2">
        <w:br/>
        <w:t>Pacific Islander 17  0.0023 1  0.0005 -0.18% 0.11184</w:t>
      </w:r>
      <w:r w:rsidRPr="008D51F2">
        <w:br/>
        <w:t>Two/More Races 779   0.1074 183  0.0964 -1.10% 0.16452</w:t>
      </w:r>
      <w:r w:rsidRPr="008D51F2">
        <w:br/>
        <w:t>White    3576  0.4930 998  0.5258 3.28% 0.01078</w:t>
      </w:r>
      <w:r w:rsidRPr="008D51F2">
        <w:br/>
      </w:r>
      <w:r w:rsidRPr="008D51F2">
        <w:br/>
        <w:t>Students who dropped out of school were substantially less likely to respond to the survey than graduates. Although 88.3 percent of the sampling pool were graduates, 96.3 percent of respondents were graduates. Thus, the survey results over-represent the current status of graduates compared to dropouts.</w:t>
      </w:r>
      <w:r w:rsidRPr="008D51F2">
        <w:br/>
      </w:r>
      <w:r w:rsidRPr="008D51F2">
        <w:br/>
        <w:t>Table 3:</w:t>
      </w:r>
      <w:r w:rsidRPr="008D51F2">
        <w:br/>
        <w:t>Exit Reason; Population#; Pop Rate; Response#; Resp Rate; Diff in Rates; P-Value</w:t>
      </w:r>
      <w:r w:rsidRPr="008D51F2">
        <w:br/>
        <w:t>ALL   7254    1898</w:t>
      </w:r>
      <w:r w:rsidRPr="008D51F2">
        <w:br/>
        <w:t>Dropped Out 847 0.1168 70   0.0369 -7.99% 0.00001</w:t>
      </w:r>
      <w:r w:rsidRPr="008D51F2">
        <w:br/>
        <w:t>Graduated  6405 0.8830 1828 0.9631 8.02% 0.00001</w:t>
      </w:r>
      <w:r w:rsidRPr="008D51F2">
        <w:br/>
        <w:t>Other   2   0.0003 0   0.0000 -0.03%</w:t>
      </w:r>
    </w:p>
    <w:p w14:paraId="7DA0F981" w14:textId="77777777" w:rsidR="00090132" w:rsidRPr="005C202C" w:rsidRDefault="00090132" w:rsidP="005C202C">
      <w:pPr>
        <w:rPr>
          <w:b/>
          <w:bCs/>
        </w:rPr>
      </w:pPr>
      <w:r w:rsidRPr="005C202C">
        <w:rPr>
          <w:b/>
          <w:bCs/>
        </w:rPr>
        <w:t>The response data is representative of the demographics of youth who are no longer in school and had IEPs in effect at the time they left school. (yes/no)</w:t>
      </w:r>
    </w:p>
    <w:p w14:paraId="2390BBAE" w14:textId="77777777" w:rsidR="00090132" w:rsidRPr="00560FEE" w:rsidRDefault="00090132" w:rsidP="00090132">
      <w:pPr>
        <w:pStyle w:val="Subhed"/>
        <w:rPr>
          <w:b w:val="0"/>
          <w:bCs/>
        </w:rPr>
      </w:pPr>
      <w:r w:rsidRPr="008D51F2">
        <w:rPr>
          <w:b w:val="0"/>
          <w:bCs/>
        </w:rPr>
        <w:t>NO</w:t>
      </w:r>
    </w:p>
    <w:p w14:paraId="027CD8C2" w14:textId="77777777" w:rsidR="00090132" w:rsidRPr="005C202C" w:rsidRDefault="00090132" w:rsidP="005C202C">
      <w:pPr>
        <w:rPr>
          <w:b/>
          <w:bCs/>
        </w:rPr>
      </w:pPr>
      <w:r w:rsidRPr="005C202C">
        <w:rPr>
          <w:b/>
          <w:bCs/>
        </w:rPr>
        <w:t>If no, describe the strategies that the State will use to ensure that in the future the response data are representative of those demographics.</w:t>
      </w:r>
    </w:p>
    <w:p w14:paraId="0A943617" w14:textId="77777777" w:rsidR="00090132" w:rsidRPr="00560FEE" w:rsidRDefault="00090132" w:rsidP="00090132">
      <w:pPr>
        <w:pStyle w:val="Subhed"/>
        <w:rPr>
          <w:b w:val="0"/>
        </w:rPr>
      </w:pPr>
      <w:r w:rsidRPr="008D51F2">
        <w:rPr>
          <w:b w:val="0"/>
        </w:rPr>
        <w:t xml:space="preserve">Along with strategies previously mentioned, efforts are being made to improve low response rates due to inaccurate contact information and leavers’ unwillingness to respond to the survey request (1,220 of the 7,254 exiters had blocked, business, disconnected, fax/computer tone, unknown, or wrong phone numbers). LEAs have begun to assist the state by updating contact information just prior to graduation and by raising awareness of the importance of the survey among personnel. </w:t>
      </w:r>
      <w:r w:rsidRPr="008D51F2">
        <w:rPr>
          <w:b w:val="0"/>
        </w:rPr>
        <w:br/>
      </w:r>
      <w:r w:rsidRPr="008D51F2">
        <w:rPr>
          <w:b w:val="0"/>
        </w:rPr>
        <w:br/>
        <w:t xml:space="preserve">The state also continues to promote the opportunity for LEAs to manage their own survey collection. In FFY 2021, 57 LEAs opted to conduct the survey with their own students, resulting in much higher local response rates on average. More LEAs have expressed interest in conducting their own surveys in FFY 2022. OSDE-SES personnel and stakeholders such as the Oklahoma Transition Council also continue to work to develop additional strategies to encourage participation. </w:t>
      </w:r>
    </w:p>
    <w:p w14:paraId="72EBB8E4" w14:textId="77777777" w:rsidR="00090132" w:rsidRPr="00560FEE" w:rsidRDefault="00090132" w:rsidP="00090132">
      <w:pPr>
        <w:pStyle w:val="Subhed"/>
        <w:rPr>
          <w:b w:val="0"/>
        </w:rPr>
      </w:pPr>
    </w:p>
    <w:p w14:paraId="5820FDED" w14:textId="77777777" w:rsidR="00090132" w:rsidRPr="005C202C" w:rsidRDefault="00090132" w:rsidP="005C202C">
      <w:pPr>
        <w:rPr>
          <w:b/>
          <w:bCs/>
        </w:rPr>
      </w:pPr>
      <w:r w:rsidRPr="005C202C">
        <w:rPr>
          <w:b/>
          <w:bCs/>
        </w:rPr>
        <w:t>Describe the metric used to determine representativeness (e.g., +/- 3% discrepancy in the proportion of responders compared to target group).</w:t>
      </w:r>
    </w:p>
    <w:p w14:paraId="04BA4870" w14:textId="77777777" w:rsidR="00090132" w:rsidRDefault="00090132" w:rsidP="00090132">
      <w:pPr>
        <w:pStyle w:val="Subhed"/>
        <w:rPr>
          <w:b w:val="0"/>
        </w:rPr>
      </w:pPr>
      <w:r w:rsidRPr="008D51F2">
        <w:rPr>
          <w:b w:val="0"/>
        </w:rPr>
        <w:t>The State uses a statistical formula (Z-test for two population proportions) to determine if two proportions (i.e., % of surveys received versus % of families in the target population) should be considered statistically different. A p-value less than 0.05 indicates a statistically significant difference between the proportions (non-representativeness).</w:t>
      </w:r>
    </w:p>
    <w:p w14:paraId="237D4C5C"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6"/>
        <w:gridCol w:w="2484"/>
      </w:tblGrid>
      <w:tr w:rsidR="005C29F8" w:rsidRPr="00781112" w14:paraId="10AC36E3" w14:textId="77777777" w:rsidTr="0033429D">
        <w:trPr>
          <w:tblHeader/>
        </w:trPr>
        <w:tc>
          <w:tcPr>
            <w:tcW w:w="8310" w:type="dxa"/>
            <w:tcBorders>
              <w:top w:val="single" w:sz="4" w:space="0" w:color="auto"/>
              <w:left w:val="single" w:sz="4" w:space="0" w:color="auto"/>
            </w:tcBorders>
            <w:shd w:val="clear" w:color="auto" w:fill="auto"/>
          </w:tcPr>
          <w:p w14:paraId="01371920" w14:textId="2568990B" w:rsidR="00763780" w:rsidRPr="00781112" w:rsidRDefault="00CC2002" w:rsidP="008E31C4">
            <w:pP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shd w:val="clear" w:color="auto" w:fill="auto"/>
          </w:tcPr>
          <w:p w14:paraId="39CB8232" w14:textId="5BE196A9"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08903DE" w14:textId="1FE95128" w:rsidTr="0033429D">
        <w:tc>
          <w:tcPr>
            <w:tcW w:w="8310" w:type="dxa"/>
            <w:shd w:val="clear" w:color="auto" w:fill="auto"/>
          </w:tcPr>
          <w:p w14:paraId="0472BB53" w14:textId="55673E5F"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shd w:val="clear" w:color="auto" w:fill="auto"/>
          </w:tcPr>
          <w:p w14:paraId="0BA01DE6" w14:textId="013EE38E" w:rsidR="00763780"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0E2BC2A3" w14:textId="77777777" w:rsidTr="0033429D">
        <w:trPr>
          <w:tblHeader/>
        </w:trPr>
        <w:tc>
          <w:tcPr>
            <w:tcW w:w="3849" w:type="pct"/>
            <w:tcBorders>
              <w:top w:val="single" w:sz="4" w:space="0" w:color="auto"/>
              <w:left w:val="single" w:sz="4" w:space="0" w:color="auto"/>
            </w:tcBorders>
            <w:shd w:val="clear" w:color="auto" w:fill="auto"/>
          </w:tcPr>
          <w:p w14:paraId="2EA51A3E" w14:textId="6A33A9D8" w:rsidR="00BC4655" w:rsidRPr="00781112" w:rsidRDefault="00CC2002" w:rsidP="008E31C4">
            <w:pP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shd w:val="clear" w:color="auto" w:fill="auto"/>
          </w:tcPr>
          <w:p w14:paraId="0EEC81FC" w14:textId="73C14A3F"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901B015" w14:textId="2CE4C417" w:rsidTr="0033429D">
        <w:tc>
          <w:tcPr>
            <w:tcW w:w="3849" w:type="pct"/>
            <w:shd w:val="clear" w:color="auto" w:fill="auto"/>
          </w:tcPr>
          <w:p w14:paraId="0856121E" w14:textId="5B1AD843"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shd w:val="clear" w:color="auto" w:fill="auto"/>
          </w:tcPr>
          <w:p w14:paraId="47AE85B8" w14:textId="2FE77A74"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649D8839" w14:textId="3AAB3A92" w:rsidTr="0033429D">
        <w:tc>
          <w:tcPr>
            <w:tcW w:w="3849" w:type="pct"/>
            <w:shd w:val="clear" w:color="auto" w:fill="auto"/>
          </w:tcPr>
          <w:p w14:paraId="56C87E2E" w14:textId="1890EBD8" w:rsidR="00BC4655" w:rsidRPr="00781112" w:rsidRDefault="003805D3" w:rsidP="008E31C4">
            <w:pPr>
              <w:rPr>
                <w:rFonts w:cs="Arial"/>
                <w:color w:val="000000" w:themeColor="text1"/>
                <w:szCs w:val="16"/>
              </w:rPr>
            </w:pPr>
            <w:r w:rsidRPr="00781112">
              <w:rPr>
                <w:rFonts w:cs="Arial"/>
                <w:color w:val="000000" w:themeColor="text1"/>
                <w:szCs w:val="16"/>
              </w:rPr>
              <w:t>If yes, is it a new or revised survey?</w:t>
            </w:r>
          </w:p>
        </w:tc>
        <w:tc>
          <w:tcPr>
            <w:tcW w:w="1151" w:type="pct"/>
            <w:shd w:val="clear" w:color="auto" w:fill="auto"/>
          </w:tcPr>
          <w:p w14:paraId="53803AF8" w14:textId="54EB33AD" w:rsidR="00BC465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62361D73" w14:textId="77777777" w:rsidR="00644AC8" w:rsidRPr="00781112" w:rsidRDefault="00644AC8" w:rsidP="00644AC8">
      <w:pPr>
        <w:rPr>
          <w:rFonts w:cs="Arial"/>
          <w:b/>
          <w:color w:val="000000" w:themeColor="text1"/>
          <w:szCs w:val="16"/>
        </w:rPr>
      </w:pPr>
      <w:bookmarkStart w:id="81" w:name="_Toc382082390"/>
      <w:bookmarkStart w:id="82" w:name="_Toc392159339"/>
      <w:r w:rsidRPr="00781112">
        <w:rPr>
          <w:rFonts w:cs="Arial"/>
          <w:b/>
          <w:color w:val="000000" w:themeColor="text1"/>
          <w:szCs w:val="16"/>
        </w:rPr>
        <w:t>Provide additional information about this indicator (optional)</w:t>
      </w:r>
    </w:p>
    <w:p w14:paraId="30BD41D2" w14:textId="40D58B63" w:rsidR="00293C7E" w:rsidRPr="00781112" w:rsidRDefault="00293C7E" w:rsidP="007D435F">
      <w:pPr>
        <w:rPr>
          <w:rFonts w:cs="Arial"/>
          <w:color w:val="000000" w:themeColor="text1"/>
          <w:szCs w:val="16"/>
        </w:rPr>
      </w:pPr>
    </w:p>
    <w:p w14:paraId="7B9DDAF2" w14:textId="6AA9F8CA" w:rsidR="000A2C83" w:rsidRPr="00781112" w:rsidRDefault="00172058" w:rsidP="00123D76">
      <w:pPr>
        <w:pStyle w:val="Heading2"/>
      </w:pPr>
      <w:r w:rsidRPr="00781112">
        <w:t>14</w:t>
      </w:r>
      <w:r w:rsidR="001D508D" w:rsidRPr="00781112">
        <w:t xml:space="preserve"> </w:t>
      </w:r>
      <w:r w:rsidRPr="00781112">
        <w:t xml:space="preserve">- </w:t>
      </w:r>
      <w:r w:rsidR="000A2C83" w:rsidRPr="00781112">
        <w:t>Prior FFY Required Actions</w:t>
      </w:r>
    </w:p>
    <w:p w14:paraId="3812AD37" w14:textId="58CBF83D" w:rsidR="009F69E7" w:rsidRPr="00781112" w:rsidRDefault="002B7490" w:rsidP="000A2C83">
      <w:pPr>
        <w:rPr>
          <w:rFonts w:cs="Arial"/>
          <w:color w:val="000000" w:themeColor="text1"/>
          <w:szCs w:val="16"/>
        </w:rPr>
      </w:pPr>
      <w:r w:rsidRPr="00781112">
        <w:rPr>
          <w:rFonts w:cs="Arial"/>
          <w:color w:val="000000" w:themeColor="text1"/>
          <w:szCs w:val="16"/>
        </w:rPr>
        <w:t xml:space="preserve">In the FFY 2021 SPP/APR, the State must report whether the FFY 2021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 </w:t>
      </w:r>
    </w:p>
    <w:p w14:paraId="09927E6D" w14:textId="373E84AB" w:rsidR="000A2C83" w:rsidRPr="00781112" w:rsidRDefault="007639D7" w:rsidP="004369B2">
      <w:pPr>
        <w:rPr>
          <w:b/>
          <w:color w:val="000000" w:themeColor="text1"/>
        </w:rPr>
      </w:pPr>
      <w:r>
        <w:rPr>
          <w:b/>
          <w:color w:val="000000" w:themeColor="text1"/>
        </w:rPr>
        <w:t>Response to actions required in FFY 2020 SPP/APR</w:t>
      </w:r>
    </w:p>
    <w:p w14:paraId="31BF0B33" w14:textId="77777777" w:rsidR="009F69E7" w:rsidRPr="00781112" w:rsidRDefault="002B7490" w:rsidP="000A2C83">
      <w:pPr>
        <w:rPr>
          <w:rFonts w:cs="Arial"/>
          <w:color w:val="000000" w:themeColor="text1"/>
          <w:szCs w:val="16"/>
        </w:rPr>
      </w:pPr>
      <w:r w:rsidRPr="00781112">
        <w:rPr>
          <w:rFonts w:cs="Arial"/>
          <w:color w:val="000000" w:themeColor="text1"/>
          <w:szCs w:val="16"/>
        </w:rPr>
        <w:t>The required analysis is provided in the previous section.</w:t>
      </w:r>
    </w:p>
    <w:p w14:paraId="5408D9B6" w14:textId="3CB80FFF"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59CF3C2B" w14:textId="15BA3B7F" w:rsidR="00644AC8" w:rsidRPr="00781112" w:rsidRDefault="00172058" w:rsidP="00123D76">
      <w:pPr>
        <w:pStyle w:val="Heading2"/>
      </w:pPr>
      <w:r w:rsidRPr="00781112">
        <w:t>14 - OSEP Response</w:t>
      </w:r>
    </w:p>
    <w:p w14:paraId="29D70E23" w14:textId="165DA616" w:rsidR="00293C7E" w:rsidRPr="00781112" w:rsidRDefault="00293C7E" w:rsidP="001F692C">
      <w:pPr>
        <w:rPr>
          <w:rFonts w:cs="Arial"/>
          <w:color w:val="000000" w:themeColor="text1"/>
          <w:szCs w:val="16"/>
        </w:rPr>
      </w:pPr>
    </w:p>
    <w:p w14:paraId="18F151E0" w14:textId="24893002" w:rsidR="00644AC8" w:rsidRPr="00781112" w:rsidRDefault="00172058" w:rsidP="00123D76">
      <w:pPr>
        <w:pStyle w:val="Heading2"/>
      </w:pPr>
      <w:r w:rsidRPr="00781112">
        <w:t>14 - Required Actions</w:t>
      </w:r>
    </w:p>
    <w:p w14:paraId="623F356B" w14:textId="668EB2DD" w:rsidR="00293C7E" w:rsidRPr="00781112" w:rsidRDefault="002B7490" w:rsidP="001F692C">
      <w:pPr>
        <w:rPr>
          <w:rFonts w:cs="Arial"/>
          <w:color w:val="000000" w:themeColor="text1"/>
          <w:szCs w:val="16"/>
        </w:rPr>
      </w:pPr>
      <w:r w:rsidRPr="00781112">
        <w:rPr>
          <w:rFonts w:cs="Arial"/>
          <w:color w:val="000000" w:themeColor="text1"/>
          <w:szCs w:val="16"/>
        </w:rPr>
        <w:t xml:space="preserve">In the FFY 2022 SPP/APR, the State must report whether the FFY 2022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 </w:t>
      </w:r>
    </w:p>
    <w:p w14:paraId="1ADD288B"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E15DEAF" w14:textId="72984127" w:rsidR="00B3462E" w:rsidRPr="00781112" w:rsidRDefault="00B3462E" w:rsidP="000444E2">
      <w:pPr>
        <w:pStyle w:val="Heading1"/>
        <w:rPr>
          <w:color w:val="000000" w:themeColor="text1"/>
          <w:sz w:val="22"/>
        </w:rPr>
      </w:pPr>
      <w:r w:rsidRPr="00781112">
        <w:rPr>
          <w:color w:val="000000" w:themeColor="text1"/>
          <w:sz w:val="22"/>
        </w:rPr>
        <w:t>Indicator 15: Resolution Sessions</w:t>
      </w:r>
      <w:bookmarkEnd w:id="81"/>
      <w:bookmarkEnd w:id="82"/>
    </w:p>
    <w:p w14:paraId="7EA31497" w14:textId="77777777" w:rsidR="005B0B58" w:rsidRPr="00781112" w:rsidRDefault="005B0B58" w:rsidP="00A018D4">
      <w:pPr>
        <w:rPr>
          <w:color w:val="000000" w:themeColor="text1"/>
          <w:szCs w:val="20"/>
        </w:rPr>
      </w:pPr>
      <w:bookmarkStart w:id="83" w:name="_Toc381786822"/>
      <w:bookmarkStart w:id="84" w:name="_Toc382731911"/>
      <w:bookmarkStart w:id="85" w:name="_Toc382731912"/>
      <w:bookmarkStart w:id="86" w:name="_Toc392159340"/>
      <w:bookmarkEnd w:id="83"/>
      <w:bookmarkEnd w:id="84"/>
      <w:r w:rsidRPr="00781112">
        <w:rPr>
          <w:b/>
          <w:color w:val="000000" w:themeColor="text1"/>
          <w:sz w:val="20"/>
          <w:szCs w:val="20"/>
        </w:rPr>
        <w:t>Instructions and Measurement</w:t>
      </w:r>
    </w:p>
    <w:p w14:paraId="280CD956" w14:textId="60A4C66A"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676E98EE"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0FFA722A" w14:textId="6CF0A81F"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40DC2407" w14:textId="77777777" w:rsidR="00B14746" w:rsidRPr="00781112" w:rsidRDefault="00B14746" w:rsidP="004369B2">
      <w:pPr>
        <w:rPr>
          <w:color w:val="000000" w:themeColor="text1"/>
        </w:rPr>
      </w:pPr>
      <w:r w:rsidRPr="00781112">
        <w:rPr>
          <w:b/>
          <w:color w:val="000000" w:themeColor="text1"/>
        </w:rPr>
        <w:t>Data Source</w:t>
      </w:r>
    </w:p>
    <w:p w14:paraId="585EF86F" w14:textId="2E239104" w:rsidR="00B14746" w:rsidRPr="00781112" w:rsidRDefault="00B14746" w:rsidP="00206890">
      <w:pPr>
        <w:rPr>
          <w:rFonts w:cs="Arial"/>
          <w:color w:val="000000" w:themeColor="text1"/>
          <w:szCs w:val="16"/>
        </w:rPr>
      </w:pPr>
      <w:r w:rsidRPr="00781112">
        <w:rPr>
          <w:rFonts w:cs="Arial"/>
          <w:color w:val="000000" w:themeColor="text1"/>
          <w:szCs w:val="16"/>
        </w:rPr>
        <w:t>Data collected under section 618 of the IDEA (IDEA Part B Dispute Resolution Survey in the EDFacts Metadata and Process System (E</w:t>
      </w:r>
      <w:r w:rsidR="00E65E32" w:rsidRPr="00781112">
        <w:rPr>
          <w:rFonts w:cs="Arial"/>
          <w:i/>
          <w:color w:val="000000" w:themeColor="text1"/>
          <w:szCs w:val="16"/>
        </w:rPr>
        <w:t>MAPS</w:t>
      </w:r>
      <w:r w:rsidRPr="00781112">
        <w:rPr>
          <w:rFonts w:cs="Arial"/>
          <w:color w:val="000000" w:themeColor="text1"/>
          <w:szCs w:val="16"/>
        </w:rPr>
        <w:t>)).</w:t>
      </w:r>
    </w:p>
    <w:p w14:paraId="4E6D96A3" w14:textId="77777777" w:rsidR="00B14746" w:rsidRPr="00781112" w:rsidRDefault="00B14746" w:rsidP="004369B2">
      <w:pPr>
        <w:rPr>
          <w:color w:val="000000" w:themeColor="text1"/>
        </w:rPr>
      </w:pPr>
      <w:r w:rsidRPr="00781112">
        <w:rPr>
          <w:b/>
          <w:color w:val="000000" w:themeColor="text1"/>
        </w:rPr>
        <w:t>Measurement</w:t>
      </w:r>
    </w:p>
    <w:p w14:paraId="64AA8A3E" w14:textId="743F9348"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7D86471C" w14:textId="77777777" w:rsidR="00B14746" w:rsidRPr="00781112" w:rsidRDefault="00B14746" w:rsidP="004369B2">
      <w:pPr>
        <w:rPr>
          <w:color w:val="000000" w:themeColor="text1"/>
        </w:rPr>
      </w:pPr>
      <w:r w:rsidRPr="00781112">
        <w:rPr>
          <w:b/>
          <w:color w:val="000000" w:themeColor="text1"/>
        </w:rPr>
        <w:t>Instructions</w:t>
      </w:r>
    </w:p>
    <w:p w14:paraId="7F1341EF"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20D56B7B"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368918B0" w14:textId="755A746B" w:rsidR="00B14746" w:rsidRPr="00781112" w:rsidRDefault="00B14746" w:rsidP="00286BDF">
      <w:pPr>
        <w:rPr>
          <w:rFonts w:cs="Arial"/>
          <w:color w:val="000000" w:themeColor="text1"/>
          <w:szCs w:val="16"/>
        </w:rPr>
      </w:pPr>
      <w:r w:rsidRPr="00781112">
        <w:rPr>
          <w:rFonts w:cs="Arial"/>
          <w:color w:val="000000" w:themeColor="text1"/>
          <w:szCs w:val="16"/>
        </w:rPr>
        <w:t>States are not required to establish baseline or targets if the number of resolution sessions is less than 10. In a reporting period when the number of resolution sessions reaches 10 or greater, develop baseline and targets and report on them in the corresponding SPP/APR.</w:t>
      </w:r>
    </w:p>
    <w:p w14:paraId="4484EAF5"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3A369CBC" w14:textId="77777777" w:rsidR="00B14746" w:rsidRPr="00781112" w:rsidRDefault="00B14746"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5C27A911" w14:textId="0F93F55A"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64F7E7AF" w14:textId="3E039165" w:rsidR="00575F02" w:rsidRPr="00781112" w:rsidRDefault="00DF2D3A" w:rsidP="00123D76">
      <w:pPr>
        <w:pStyle w:val="Heading2"/>
      </w:pPr>
      <w:r w:rsidRPr="00781112">
        <w:t>15</w:t>
      </w:r>
      <w:r w:rsidR="001D508D" w:rsidRPr="00781112">
        <w:t xml:space="preserve"> </w:t>
      </w:r>
      <w:r w:rsidRPr="00781112">
        <w:t xml:space="preserve">- </w:t>
      </w:r>
      <w:r w:rsidR="00575F02" w:rsidRPr="00781112">
        <w:t>Indicator Data</w:t>
      </w:r>
    </w:p>
    <w:p w14:paraId="787F4BF1" w14:textId="4407EA15" w:rsidR="004A33CD" w:rsidRPr="00781112" w:rsidRDefault="00E31E29" w:rsidP="004A33CD">
      <w:pPr>
        <w:rPr>
          <w:rFonts w:cs="Arial"/>
          <w:color w:val="000000" w:themeColor="text1"/>
          <w:szCs w:val="16"/>
        </w:rPr>
      </w:pPr>
      <w:r w:rsidRPr="00781112">
        <w:rPr>
          <w:rFonts w:cs="Arial"/>
          <w:color w:val="000000" w:themeColor="text1"/>
          <w:szCs w:val="16"/>
        </w:rPr>
        <w:t>Select yes to use target ranges</w:t>
      </w:r>
    </w:p>
    <w:p w14:paraId="28345E9C" w14:textId="1A461958" w:rsidR="004A33CD" w:rsidRPr="00781112" w:rsidRDefault="004A33CD" w:rsidP="004369B2">
      <w:pPr>
        <w:rPr>
          <w:color w:val="000000" w:themeColor="text1"/>
        </w:rPr>
      </w:pPr>
      <w:r w:rsidRPr="00781112">
        <w:rPr>
          <w:rFonts w:cs="Arial"/>
          <w:color w:val="000000" w:themeColor="text1"/>
          <w:szCs w:val="16"/>
        </w:rPr>
        <w:t>Target Range not used</w:t>
      </w:r>
    </w:p>
    <w:bookmarkEnd w:id="85"/>
    <w:bookmarkEnd w:id="86"/>
    <w:p w14:paraId="2C183615" w14:textId="77777777" w:rsidR="00CE0C68" w:rsidRPr="00781112" w:rsidRDefault="00CE0C68" w:rsidP="004369B2">
      <w:pPr>
        <w:rPr>
          <w:color w:val="000000" w:themeColor="text1"/>
        </w:rPr>
      </w:pPr>
    </w:p>
    <w:p w14:paraId="23EC0320" w14:textId="2C5AA27C"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6639EAF6" w14:textId="77777777" w:rsidTr="00AB0D6A">
        <w:trPr>
          <w:trHeight w:val="372"/>
          <w:tblHeader/>
        </w:trPr>
        <w:tc>
          <w:tcPr>
            <w:tcW w:w="1207" w:type="pct"/>
            <w:shd w:val="clear" w:color="auto" w:fill="auto"/>
          </w:tcPr>
          <w:p w14:paraId="3040A217"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shd w:val="clear" w:color="auto" w:fill="auto"/>
          </w:tcPr>
          <w:p w14:paraId="3A97206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shd w:val="clear" w:color="auto" w:fill="auto"/>
          </w:tcPr>
          <w:p w14:paraId="52C3C7CB"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shd w:val="clear" w:color="auto" w:fill="auto"/>
          </w:tcPr>
          <w:p w14:paraId="3BD49A8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50C4DB70" w14:textId="77777777" w:rsidTr="00AB0D6A">
        <w:trPr>
          <w:trHeight w:val="380"/>
        </w:trPr>
        <w:tc>
          <w:tcPr>
            <w:tcW w:w="1207" w:type="pct"/>
            <w:shd w:val="clear" w:color="auto" w:fill="auto"/>
          </w:tcPr>
          <w:p w14:paraId="56F7D41B" w14:textId="55A36B40" w:rsidR="001126C3" w:rsidRPr="00781112" w:rsidRDefault="002B7490" w:rsidP="001126C3">
            <w:pPr>
              <w:jc w:val="center"/>
              <w:rPr>
                <w:rFonts w:cs="Arial"/>
                <w:color w:val="000000" w:themeColor="text1"/>
                <w:szCs w:val="16"/>
              </w:rPr>
            </w:pPr>
            <w:r w:rsidRPr="00781112">
              <w:rPr>
                <w:rFonts w:cs="Arial"/>
                <w:color w:val="000000" w:themeColor="text1"/>
                <w:szCs w:val="16"/>
              </w:rPr>
              <w:t>SY 2021-22 EMAPS IDEA Part B Dispute Resolution Survey; Section C: Due Process Complaints</w:t>
            </w:r>
          </w:p>
        </w:tc>
        <w:tc>
          <w:tcPr>
            <w:tcW w:w="1251" w:type="pct"/>
            <w:shd w:val="clear" w:color="auto" w:fill="auto"/>
          </w:tcPr>
          <w:p w14:paraId="7C90E97F" w14:textId="79564898" w:rsidR="001126C3" w:rsidRPr="00781112" w:rsidRDefault="008174C3" w:rsidP="001126C3">
            <w:pPr>
              <w:jc w:val="center"/>
              <w:rPr>
                <w:rFonts w:cs="Arial"/>
                <w:color w:val="000000" w:themeColor="text1"/>
                <w:szCs w:val="16"/>
              </w:rPr>
            </w:pPr>
            <w:r w:rsidRPr="00781112">
              <w:rPr>
                <w:rFonts w:cs="Arial"/>
                <w:color w:val="000000" w:themeColor="text1"/>
                <w:szCs w:val="16"/>
              </w:rPr>
              <w:t>11/02/2022</w:t>
            </w:r>
          </w:p>
        </w:tc>
        <w:tc>
          <w:tcPr>
            <w:tcW w:w="1655" w:type="pct"/>
            <w:shd w:val="clear" w:color="auto" w:fill="auto"/>
          </w:tcPr>
          <w:p w14:paraId="5E5A973C"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shd w:val="clear" w:color="auto" w:fill="auto"/>
          </w:tcPr>
          <w:p w14:paraId="5468BA6D" w14:textId="1A6A859B" w:rsidR="001126C3" w:rsidRPr="00781112" w:rsidRDefault="002B7490" w:rsidP="00A018D4">
            <w:pPr>
              <w:jc w:val="center"/>
              <w:rPr>
                <w:rFonts w:cs="Arial"/>
                <w:color w:val="000000" w:themeColor="text1"/>
                <w:szCs w:val="16"/>
              </w:rPr>
            </w:pPr>
            <w:r w:rsidRPr="00781112">
              <w:rPr>
                <w:rFonts w:cs="Arial"/>
                <w:color w:val="000000" w:themeColor="text1"/>
                <w:szCs w:val="16"/>
              </w:rPr>
              <w:t>6</w:t>
            </w:r>
          </w:p>
        </w:tc>
      </w:tr>
      <w:tr w:rsidR="005C29F8" w:rsidRPr="00781112" w14:paraId="2E50DA19" w14:textId="77777777" w:rsidTr="00AB0D6A">
        <w:trPr>
          <w:trHeight w:val="380"/>
        </w:trPr>
        <w:tc>
          <w:tcPr>
            <w:tcW w:w="1207" w:type="pct"/>
            <w:shd w:val="clear" w:color="auto" w:fill="auto"/>
          </w:tcPr>
          <w:p w14:paraId="2B232A7C" w14:textId="7E2BE0F5" w:rsidR="001126C3" w:rsidRPr="00781112" w:rsidRDefault="008174C3" w:rsidP="001126C3">
            <w:pPr>
              <w:jc w:val="center"/>
              <w:rPr>
                <w:rFonts w:cs="Arial"/>
                <w:color w:val="000000" w:themeColor="text1"/>
                <w:szCs w:val="16"/>
              </w:rPr>
            </w:pPr>
            <w:r w:rsidRPr="00781112">
              <w:rPr>
                <w:rFonts w:cs="Arial"/>
                <w:color w:val="000000" w:themeColor="text1"/>
                <w:szCs w:val="16"/>
              </w:rPr>
              <w:t>SY 2021-22 EMAPS IDEA Part B Dispute Resolution Survey; Section C: Due Process Complaints</w:t>
            </w:r>
          </w:p>
        </w:tc>
        <w:tc>
          <w:tcPr>
            <w:tcW w:w="1251" w:type="pct"/>
            <w:shd w:val="clear" w:color="auto" w:fill="auto"/>
          </w:tcPr>
          <w:p w14:paraId="7F21A5DE" w14:textId="74620D03" w:rsidR="001126C3" w:rsidRPr="00781112" w:rsidRDefault="008174C3" w:rsidP="001126C3">
            <w:pPr>
              <w:jc w:val="center"/>
              <w:rPr>
                <w:rFonts w:cs="Arial"/>
                <w:color w:val="000000" w:themeColor="text1"/>
                <w:szCs w:val="16"/>
              </w:rPr>
            </w:pPr>
            <w:r w:rsidRPr="00781112">
              <w:rPr>
                <w:rFonts w:cs="Arial"/>
                <w:color w:val="000000" w:themeColor="text1"/>
                <w:szCs w:val="16"/>
              </w:rPr>
              <w:t>11/02/2022</w:t>
            </w:r>
          </w:p>
        </w:tc>
        <w:tc>
          <w:tcPr>
            <w:tcW w:w="1655" w:type="pct"/>
            <w:shd w:val="clear" w:color="auto" w:fill="auto"/>
          </w:tcPr>
          <w:p w14:paraId="48E53926"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shd w:val="clear" w:color="auto" w:fill="auto"/>
          </w:tcPr>
          <w:p w14:paraId="1CCE3841" w14:textId="455ECD7A" w:rsidR="001126C3" w:rsidRPr="00781112" w:rsidRDefault="002B7490" w:rsidP="00A018D4">
            <w:pPr>
              <w:jc w:val="center"/>
              <w:rPr>
                <w:rFonts w:cs="Arial"/>
                <w:color w:val="000000" w:themeColor="text1"/>
                <w:szCs w:val="16"/>
              </w:rPr>
            </w:pPr>
            <w:r w:rsidRPr="00781112">
              <w:rPr>
                <w:rFonts w:cs="Arial"/>
                <w:color w:val="000000" w:themeColor="text1"/>
                <w:szCs w:val="16"/>
              </w:rPr>
              <w:t>1</w:t>
            </w:r>
          </w:p>
        </w:tc>
      </w:tr>
    </w:tbl>
    <w:p w14:paraId="162CEFB3" w14:textId="55A4ED3A" w:rsidR="004A33CD" w:rsidRPr="00781112" w:rsidRDefault="00E31E29">
      <w:pPr>
        <w:rPr>
          <w:b/>
          <w:color w:val="000000" w:themeColor="text1"/>
        </w:rPr>
      </w:pPr>
      <w:bookmarkStart w:id="87" w:name="_Toc382731913"/>
      <w:bookmarkStart w:id="88" w:name="_Toc392159341"/>
      <w:r w:rsidRPr="00781112">
        <w:rPr>
          <w:b/>
          <w:color w:val="000000" w:themeColor="text1"/>
        </w:rPr>
        <w:t>Select yes if the data reported in this indicator are not the same as the State’s data reported under section 618 of the IDEA.</w:t>
      </w:r>
    </w:p>
    <w:p w14:paraId="619A5AA7" w14:textId="55E9BEAB" w:rsidR="004A33CD" w:rsidRPr="00781112" w:rsidRDefault="004A33CD">
      <w:pPr>
        <w:rPr>
          <w:color w:val="000000" w:themeColor="text1"/>
        </w:rPr>
      </w:pPr>
      <w:r w:rsidRPr="00781112">
        <w:rPr>
          <w:color w:val="000000" w:themeColor="text1"/>
        </w:rPr>
        <w:t>NO</w:t>
      </w:r>
    </w:p>
    <w:p w14:paraId="25CD6A7B" w14:textId="77777777" w:rsidR="000657A8" w:rsidRPr="00781112" w:rsidRDefault="000657A8" w:rsidP="004369B2">
      <w:pPr>
        <w:rPr>
          <w:color w:val="000000" w:themeColor="text1"/>
        </w:rPr>
      </w:pPr>
    </w:p>
    <w:p w14:paraId="2AFA559A" w14:textId="46CC9076" w:rsidR="000A2C83" w:rsidRPr="00781112" w:rsidRDefault="000A2C83" w:rsidP="004369B2">
      <w:pPr>
        <w:rPr>
          <w:b/>
          <w:color w:val="000000" w:themeColor="text1"/>
        </w:rPr>
      </w:pPr>
      <w:r w:rsidRPr="00781112">
        <w:rPr>
          <w:b/>
          <w:color w:val="000000" w:themeColor="text1"/>
        </w:rPr>
        <w:t xml:space="preserve">Targets: Description of Stakeholder Input </w:t>
      </w:r>
    </w:p>
    <w:p w14:paraId="43B1695A" w14:textId="2970A905" w:rsidR="000A2C83" w:rsidRPr="00781112" w:rsidRDefault="000A2C83" w:rsidP="000A2C83">
      <w:pPr>
        <w:rPr>
          <w:rFonts w:cs="Arial"/>
          <w:color w:val="000000" w:themeColor="text1"/>
          <w:szCs w:val="16"/>
        </w:rPr>
      </w:pPr>
    </w:p>
    <w:bookmarkEnd w:id="87"/>
    <w:bookmarkEnd w:id="88"/>
    <w:p w14:paraId="3A708A87" w14:textId="77777777" w:rsidR="00CE0C68" w:rsidRPr="00781112" w:rsidRDefault="00CE0C68" w:rsidP="00127006">
      <w:pPr>
        <w:pStyle w:val="Bold"/>
        <w:rPr>
          <w:color w:val="000000" w:themeColor="text1"/>
        </w:rPr>
      </w:pPr>
    </w:p>
    <w:p w14:paraId="4E8407A2" w14:textId="6977F9E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4BC2AEC0" w14:textId="77777777" w:rsidTr="00123D76">
        <w:trPr>
          <w:trHeight w:val="311"/>
          <w:tblHeader/>
        </w:trPr>
        <w:tc>
          <w:tcPr>
            <w:tcW w:w="1797" w:type="dxa"/>
          </w:tcPr>
          <w:p w14:paraId="5C965FC2" w14:textId="77777777" w:rsidR="00956DFE" w:rsidRPr="00781112" w:rsidRDefault="00956DFE" w:rsidP="00123D76">
            <w:pPr>
              <w:jc w:val="center"/>
              <w:rPr>
                <w:b/>
                <w:color w:val="000000" w:themeColor="text1"/>
              </w:rPr>
            </w:pPr>
            <w:r w:rsidRPr="00781112">
              <w:rPr>
                <w:rFonts w:cs="Arial"/>
                <w:b/>
                <w:color w:val="000000" w:themeColor="text1"/>
                <w:szCs w:val="16"/>
              </w:rPr>
              <w:t>Baseline Year</w:t>
            </w:r>
          </w:p>
        </w:tc>
        <w:tc>
          <w:tcPr>
            <w:tcW w:w="1798" w:type="dxa"/>
          </w:tcPr>
          <w:p w14:paraId="0FE47E01"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4061AB26" w14:textId="77777777" w:rsidTr="00123D76">
        <w:trPr>
          <w:trHeight w:val="311"/>
        </w:trPr>
        <w:tc>
          <w:tcPr>
            <w:tcW w:w="1797" w:type="dxa"/>
            <w:vAlign w:val="center"/>
          </w:tcPr>
          <w:p w14:paraId="06B6D30C" w14:textId="2AF9B55C" w:rsidR="00956DFE" w:rsidRPr="00781112" w:rsidRDefault="00956DFE" w:rsidP="00123D76">
            <w:pPr>
              <w:jc w:val="center"/>
              <w:rPr>
                <w:bCs/>
                <w:color w:val="000000" w:themeColor="text1"/>
              </w:rPr>
            </w:pPr>
            <w:r w:rsidRPr="00781112">
              <w:rPr>
                <w:bCs/>
                <w:color w:val="000000" w:themeColor="text1"/>
              </w:rPr>
              <w:t>2012</w:t>
            </w:r>
          </w:p>
        </w:tc>
        <w:tc>
          <w:tcPr>
            <w:tcW w:w="1798" w:type="dxa"/>
            <w:vAlign w:val="center"/>
          </w:tcPr>
          <w:p w14:paraId="2ECB17ED" w14:textId="53ECEEAF" w:rsidR="00956DFE" w:rsidRPr="00781112" w:rsidRDefault="00956DFE" w:rsidP="00123D76">
            <w:pPr>
              <w:jc w:val="center"/>
              <w:rPr>
                <w:bCs/>
                <w:color w:val="000000" w:themeColor="text1"/>
              </w:rPr>
            </w:pPr>
            <w:r w:rsidRPr="00781112">
              <w:rPr>
                <w:bCs/>
                <w:color w:val="000000" w:themeColor="text1"/>
              </w:rPr>
              <w:t>62.50%</w:t>
            </w:r>
          </w:p>
        </w:tc>
      </w:tr>
    </w:tbl>
    <w:p w14:paraId="3ABC15A0"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4E412341" w14:textId="77777777" w:rsidTr="004B2960">
        <w:trPr>
          <w:trHeight w:val="350"/>
        </w:trPr>
        <w:tc>
          <w:tcPr>
            <w:tcW w:w="833" w:type="pct"/>
            <w:tcBorders>
              <w:bottom w:val="single" w:sz="4" w:space="0" w:color="auto"/>
            </w:tcBorders>
            <w:shd w:val="clear" w:color="auto" w:fill="auto"/>
          </w:tcPr>
          <w:p w14:paraId="3BCF53D4"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BCFC70E" w14:textId="1BB5B5A8" w:rsidR="00206890"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0D14322A" w14:textId="6BD4D2D0" w:rsidR="00206890"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5AD53313" w14:textId="5FC8C632" w:rsidR="00206890"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4015341F" w14:textId="703AE838"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14:paraId="087D6966" w14:textId="6C948B8E" w:rsidR="00206890" w:rsidRPr="00781112" w:rsidRDefault="002B7490" w:rsidP="008E31C4">
            <w:pPr>
              <w:jc w:val="center"/>
              <w:rPr>
                <w:rFonts w:cs="Arial"/>
                <w:b/>
                <w:color w:val="000000" w:themeColor="text1"/>
                <w:szCs w:val="16"/>
              </w:rPr>
            </w:pPr>
            <w:r w:rsidRPr="00781112">
              <w:rPr>
                <w:rFonts w:cs="Arial"/>
                <w:b/>
                <w:color w:val="000000" w:themeColor="text1"/>
                <w:szCs w:val="16"/>
              </w:rPr>
              <w:t>2020</w:t>
            </w:r>
          </w:p>
        </w:tc>
      </w:tr>
      <w:tr w:rsidR="005C29F8" w:rsidRPr="00781112" w14:paraId="2C55BF13" w14:textId="77777777" w:rsidTr="004B2960">
        <w:trPr>
          <w:trHeight w:val="357"/>
        </w:trPr>
        <w:tc>
          <w:tcPr>
            <w:tcW w:w="833" w:type="pct"/>
            <w:shd w:val="clear" w:color="auto" w:fill="auto"/>
          </w:tcPr>
          <w:p w14:paraId="33F24D1B" w14:textId="209B7194" w:rsidR="00206890" w:rsidRPr="00781112" w:rsidRDefault="00206890" w:rsidP="008E31C4">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7184CC23" w14:textId="0660F716" w:rsidR="00206890"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0E9857EC" w14:textId="50F3C2EF" w:rsidR="00206890" w:rsidRPr="00781112" w:rsidRDefault="002B7490" w:rsidP="00A018D4">
            <w:pPr>
              <w:jc w:val="center"/>
              <w:rPr>
                <w:rFonts w:cs="Arial"/>
                <w:color w:val="000000" w:themeColor="text1"/>
                <w:szCs w:val="16"/>
              </w:rPr>
            </w:pPr>
            <w:r w:rsidRPr="00781112">
              <w:rPr>
                <w:rFonts w:cs="Arial"/>
                <w:color w:val="000000" w:themeColor="text1"/>
                <w:szCs w:val="16"/>
              </w:rPr>
              <w:t>65.00% - 70.00%</w:t>
            </w:r>
          </w:p>
        </w:tc>
        <w:tc>
          <w:tcPr>
            <w:tcW w:w="833" w:type="pct"/>
            <w:shd w:val="clear" w:color="auto" w:fill="auto"/>
            <w:vAlign w:val="center"/>
          </w:tcPr>
          <w:p w14:paraId="0571C04B" w14:textId="328A30A7" w:rsidR="00206890" w:rsidRPr="00781112" w:rsidRDefault="002B7490" w:rsidP="00A018D4">
            <w:pPr>
              <w:jc w:val="center"/>
              <w:rPr>
                <w:rFonts w:cs="Arial"/>
                <w:color w:val="000000" w:themeColor="text1"/>
                <w:szCs w:val="16"/>
              </w:rPr>
            </w:pPr>
            <w:r w:rsidRPr="00781112">
              <w:rPr>
                <w:rFonts w:cs="Arial"/>
                <w:color w:val="000000" w:themeColor="text1"/>
                <w:szCs w:val="16"/>
              </w:rPr>
              <w:t>65.00% - 70.00%</w:t>
            </w:r>
          </w:p>
        </w:tc>
        <w:tc>
          <w:tcPr>
            <w:tcW w:w="833" w:type="pct"/>
            <w:shd w:val="clear" w:color="auto" w:fill="auto"/>
            <w:vAlign w:val="center"/>
          </w:tcPr>
          <w:p w14:paraId="77EAC2A0" w14:textId="7A794ABC" w:rsidR="00206890" w:rsidRPr="00781112" w:rsidRDefault="002B7490" w:rsidP="00A018D4">
            <w:pPr>
              <w:jc w:val="center"/>
              <w:rPr>
                <w:rFonts w:cs="Arial"/>
                <w:color w:val="000000" w:themeColor="text1"/>
                <w:szCs w:val="16"/>
              </w:rPr>
            </w:pPr>
            <w:r w:rsidRPr="00781112">
              <w:rPr>
                <w:rFonts w:cs="Arial"/>
                <w:color w:val="000000" w:themeColor="text1"/>
                <w:szCs w:val="16"/>
              </w:rPr>
              <w:t>65.00%-70.00%</w:t>
            </w:r>
          </w:p>
        </w:tc>
        <w:tc>
          <w:tcPr>
            <w:tcW w:w="834" w:type="pct"/>
            <w:shd w:val="clear" w:color="auto" w:fill="auto"/>
            <w:vAlign w:val="center"/>
          </w:tcPr>
          <w:p w14:paraId="04397BF9" w14:textId="1A3506DC" w:rsidR="00206890" w:rsidRPr="00781112" w:rsidRDefault="002B7490" w:rsidP="00A018D4">
            <w:pPr>
              <w:jc w:val="center"/>
              <w:rPr>
                <w:rFonts w:cs="Arial"/>
                <w:color w:val="000000" w:themeColor="text1"/>
                <w:szCs w:val="16"/>
              </w:rPr>
            </w:pPr>
            <w:r w:rsidRPr="00781112">
              <w:rPr>
                <w:rFonts w:cs="Arial"/>
                <w:color w:val="000000" w:themeColor="text1"/>
                <w:szCs w:val="16"/>
              </w:rPr>
              <w:t>70.00%</w:t>
            </w:r>
          </w:p>
        </w:tc>
      </w:tr>
      <w:tr w:rsidR="005C29F8" w:rsidRPr="00781112" w14:paraId="10C8B4B5" w14:textId="77777777" w:rsidTr="004B2960">
        <w:trPr>
          <w:trHeight w:val="85"/>
        </w:trPr>
        <w:tc>
          <w:tcPr>
            <w:tcW w:w="833" w:type="pct"/>
            <w:shd w:val="clear" w:color="auto" w:fill="auto"/>
          </w:tcPr>
          <w:p w14:paraId="708FF78B" w14:textId="77777777" w:rsidR="00206890" w:rsidRPr="00781112" w:rsidRDefault="00206890"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E187FD0" w14:textId="3237A264" w:rsidR="00206890" w:rsidRPr="00781112" w:rsidRDefault="002B7490" w:rsidP="00A018D4">
            <w:pPr>
              <w:jc w:val="center"/>
              <w:rPr>
                <w:rFonts w:cs="Arial"/>
                <w:color w:val="000000" w:themeColor="text1"/>
                <w:szCs w:val="16"/>
              </w:rPr>
            </w:pPr>
            <w:r w:rsidRPr="00781112">
              <w:rPr>
                <w:rFonts w:cs="Arial"/>
                <w:color w:val="000000" w:themeColor="text1"/>
                <w:szCs w:val="16"/>
              </w:rPr>
              <w:t>78.57%</w:t>
            </w:r>
          </w:p>
        </w:tc>
        <w:tc>
          <w:tcPr>
            <w:tcW w:w="833" w:type="pct"/>
            <w:shd w:val="clear" w:color="auto" w:fill="auto"/>
          </w:tcPr>
          <w:p w14:paraId="6CEC3330" w14:textId="5E8A3E06"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3C74B678" w14:textId="22746FF8"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6488E126" w14:textId="74B63322" w:rsidR="00206890" w:rsidRPr="00781112" w:rsidRDefault="002B7490" w:rsidP="00A018D4">
            <w:pPr>
              <w:jc w:val="center"/>
              <w:rPr>
                <w:rFonts w:cs="Arial"/>
                <w:color w:val="000000" w:themeColor="text1"/>
                <w:szCs w:val="16"/>
              </w:rPr>
            </w:pPr>
            <w:r w:rsidRPr="00781112">
              <w:rPr>
                <w:rFonts w:cs="Arial"/>
                <w:color w:val="000000" w:themeColor="text1"/>
                <w:szCs w:val="16"/>
              </w:rPr>
              <w:t>87.50%</w:t>
            </w:r>
          </w:p>
        </w:tc>
        <w:tc>
          <w:tcPr>
            <w:tcW w:w="834" w:type="pct"/>
            <w:tcBorders>
              <w:bottom w:val="single" w:sz="4" w:space="0" w:color="auto"/>
            </w:tcBorders>
            <w:shd w:val="clear" w:color="auto" w:fill="auto"/>
            <w:vAlign w:val="center"/>
          </w:tcPr>
          <w:p w14:paraId="72325A8D" w14:textId="79CE876D" w:rsidR="00206890" w:rsidRPr="00781112" w:rsidRDefault="002B7490" w:rsidP="00A018D4">
            <w:pPr>
              <w:jc w:val="center"/>
              <w:rPr>
                <w:rFonts w:cs="Arial"/>
                <w:color w:val="000000" w:themeColor="text1"/>
                <w:szCs w:val="16"/>
              </w:rPr>
            </w:pPr>
            <w:r w:rsidRPr="00781112">
              <w:rPr>
                <w:rFonts w:cs="Arial"/>
                <w:color w:val="000000" w:themeColor="text1"/>
                <w:szCs w:val="16"/>
              </w:rPr>
              <w:t>85.71%</w:t>
            </w:r>
          </w:p>
        </w:tc>
      </w:tr>
    </w:tbl>
    <w:p w14:paraId="49D45707" w14:textId="4136C190" w:rsidR="00CE0C68" w:rsidRPr="00781112" w:rsidRDefault="00CE0C68">
      <w:pPr>
        <w:rPr>
          <w:color w:val="000000" w:themeColor="text1"/>
        </w:rPr>
      </w:pPr>
    </w:p>
    <w:p w14:paraId="0B3CADC6" w14:textId="0A7F1EFC" w:rsidR="00372DF8" w:rsidRPr="00781112" w:rsidRDefault="00372DF8" w:rsidP="004369B2">
      <w:pPr>
        <w:rPr>
          <w:color w:val="000000" w:themeColor="text1"/>
        </w:rPr>
      </w:pPr>
      <w:r w:rsidRPr="00781112">
        <w:rPr>
          <w:b/>
          <w:color w:val="000000" w:themeColor="text1"/>
        </w:rPr>
        <w:t>Targets</w:t>
      </w:r>
    </w:p>
    <w:tbl>
      <w:tblPr>
        <w:tblW w:w="4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TARGETSOPT1"/>
      </w:tblPr>
      <w:tblGrid>
        <w:gridCol w:w="918"/>
        <w:gridCol w:w="2016"/>
        <w:gridCol w:w="1554"/>
        <w:gridCol w:w="1554"/>
        <w:gridCol w:w="1554"/>
        <w:gridCol w:w="1554"/>
      </w:tblGrid>
      <w:tr w:rsidR="00B14519" w:rsidRPr="00781112" w14:paraId="5B5B06C7" w14:textId="5314EC59" w:rsidTr="00451D7E">
        <w:trPr>
          <w:trHeight w:val="431"/>
        </w:trPr>
        <w:tc>
          <w:tcPr>
            <w:tcW w:w="502" w:type="pct"/>
            <w:tcBorders>
              <w:bottom w:val="single" w:sz="4" w:space="0" w:color="auto"/>
            </w:tcBorders>
            <w:shd w:val="clear" w:color="auto" w:fill="auto"/>
          </w:tcPr>
          <w:p w14:paraId="31E34DD6" w14:textId="77777777" w:rsidR="00B14519" w:rsidRPr="00781112" w:rsidRDefault="00B14519" w:rsidP="00AF574F">
            <w:pPr>
              <w:jc w:val="center"/>
              <w:rPr>
                <w:b/>
                <w:color w:val="000000" w:themeColor="text1"/>
              </w:rPr>
            </w:pPr>
            <w:r w:rsidRPr="00781112">
              <w:rPr>
                <w:b/>
                <w:color w:val="000000" w:themeColor="text1"/>
              </w:rPr>
              <w:t>FFY</w:t>
            </w:r>
          </w:p>
        </w:tc>
        <w:tc>
          <w:tcPr>
            <w:tcW w:w="1102" w:type="pct"/>
            <w:shd w:val="clear" w:color="auto" w:fill="auto"/>
          </w:tcPr>
          <w:p w14:paraId="782DDA76" w14:textId="193A6DE4" w:rsidR="00B14519" w:rsidRPr="00781112" w:rsidRDefault="00B14519" w:rsidP="00AF574F">
            <w:pPr>
              <w:jc w:val="center"/>
              <w:rPr>
                <w:b/>
                <w:color w:val="000000" w:themeColor="text1"/>
              </w:rPr>
            </w:pPr>
            <w:r w:rsidRPr="00781112">
              <w:rPr>
                <w:b/>
                <w:color w:val="000000" w:themeColor="text1"/>
              </w:rPr>
              <w:t>2021</w:t>
            </w:r>
          </w:p>
        </w:tc>
        <w:tc>
          <w:tcPr>
            <w:tcW w:w="849" w:type="pct"/>
          </w:tcPr>
          <w:p w14:paraId="64BBFFA7" w14:textId="5A89DD6A" w:rsidR="00B14519" w:rsidRPr="00781112" w:rsidRDefault="00B14519" w:rsidP="00AD75EE">
            <w:pPr>
              <w:spacing w:before="0" w:after="200" w:line="276" w:lineRule="auto"/>
              <w:jc w:val="center"/>
            </w:pPr>
            <w:r w:rsidRPr="00781112">
              <w:rPr>
                <w:rFonts w:cs="Arial"/>
                <w:b/>
                <w:color w:val="000000" w:themeColor="text1"/>
                <w:szCs w:val="16"/>
              </w:rPr>
              <w:t>2022</w:t>
            </w:r>
          </w:p>
        </w:tc>
        <w:tc>
          <w:tcPr>
            <w:tcW w:w="849" w:type="pct"/>
          </w:tcPr>
          <w:p w14:paraId="1B4B8409" w14:textId="760000D9" w:rsidR="00B14519" w:rsidRPr="00781112" w:rsidRDefault="00B14519" w:rsidP="00AD75EE">
            <w:pPr>
              <w:spacing w:before="0" w:after="200" w:line="276" w:lineRule="auto"/>
              <w:jc w:val="center"/>
            </w:pPr>
            <w:r w:rsidRPr="00781112">
              <w:rPr>
                <w:rFonts w:cs="Arial"/>
                <w:b/>
                <w:color w:val="000000" w:themeColor="text1"/>
                <w:szCs w:val="16"/>
              </w:rPr>
              <w:t>2023</w:t>
            </w:r>
          </w:p>
        </w:tc>
        <w:tc>
          <w:tcPr>
            <w:tcW w:w="849" w:type="pct"/>
          </w:tcPr>
          <w:p w14:paraId="3B1502FE" w14:textId="792D80C3" w:rsidR="00B14519" w:rsidRPr="00781112" w:rsidRDefault="00B14519" w:rsidP="00AD75EE">
            <w:pPr>
              <w:spacing w:before="0" w:after="200" w:line="276" w:lineRule="auto"/>
              <w:jc w:val="center"/>
            </w:pPr>
            <w:r w:rsidRPr="00781112">
              <w:rPr>
                <w:rFonts w:cs="Arial"/>
                <w:b/>
                <w:color w:val="000000" w:themeColor="text1"/>
                <w:szCs w:val="16"/>
              </w:rPr>
              <w:t>2024</w:t>
            </w:r>
          </w:p>
        </w:tc>
        <w:tc>
          <w:tcPr>
            <w:tcW w:w="849" w:type="pct"/>
          </w:tcPr>
          <w:p w14:paraId="3020AD2E" w14:textId="61B1A376" w:rsidR="00B14519" w:rsidRPr="00781112" w:rsidRDefault="00B14519" w:rsidP="00AD75EE">
            <w:pPr>
              <w:spacing w:before="0" w:after="200" w:line="276" w:lineRule="auto"/>
              <w:jc w:val="center"/>
            </w:pPr>
            <w:r w:rsidRPr="00781112">
              <w:rPr>
                <w:rFonts w:cs="Arial"/>
                <w:b/>
                <w:color w:val="000000" w:themeColor="text1"/>
                <w:szCs w:val="16"/>
              </w:rPr>
              <w:t>2025</w:t>
            </w:r>
          </w:p>
        </w:tc>
      </w:tr>
      <w:tr w:rsidR="00B14519" w:rsidRPr="00781112" w14:paraId="2E97FCFB" w14:textId="76FCB4DE" w:rsidTr="00451D7E">
        <w:trPr>
          <w:trHeight w:val="521"/>
        </w:trPr>
        <w:tc>
          <w:tcPr>
            <w:tcW w:w="502" w:type="pct"/>
            <w:shd w:val="clear" w:color="auto" w:fill="auto"/>
          </w:tcPr>
          <w:p w14:paraId="4E1FED50" w14:textId="35E6081C" w:rsidR="00B14519" w:rsidRPr="00781112" w:rsidRDefault="00B14519" w:rsidP="00AF574F">
            <w:pPr>
              <w:rPr>
                <w:rFonts w:cs="Arial"/>
                <w:color w:val="000000" w:themeColor="text1"/>
                <w:szCs w:val="16"/>
              </w:rPr>
            </w:pPr>
            <w:r w:rsidRPr="00781112">
              <w:rPr>
                <w:rFonts w:cs="Arial"/>
                <w:color w:val="000000" w:themeColor="text1"/>
                <w:szCs w:val="16"/>
              </w:rPr>
              <w:t>Target &gt;=</w:t>
            </w:r>
          </w:p>
        </w:tc>
        <w:tc>
          <w:tcPr>
            <w:tcW w:w="1102" w:type="pct"/>
            <w:shd w:val="clear" w:color="auto" w:fill="auto"/>
            <w:vAlign w:val="center"/>
          </w:tcPr>
          <w:p w14:paraId="39DFFAEB" w14:textId="54D1D7D6" w:rsidR="00B14519" w:rsidRPr="00781112" w:rsidRDefault="00B14519" w:rsidP="008D24E3">
            <w:pPr>
              <w:jc w:val="center"/>
              <w:rPr>
                <w:rFonts w:cs="Arial"/>
                <w:color w:val="000000" w:themeColor="text1"/>
                <w:szCs w:val="16"/>
              </w:rPr>
            </w:pPr>
            <w:r w:rsidRPr="00781112">
              <w:rPr>
                <w:rFonts w:cs="Arial"/>
                <w:color w:val="000000" w:themeColor="text1"/>
                <w:szCs w:val="16"/>
              </w:rPr>
              <w:t>70.00%</w:t>
            </w:r>
          </w:p>
        </w:tc>
        <w:tc>
          <w:tcPr>
            <w:tcW w:w="849" w:type="pct"/>
          </w:tcPr>
          <w:p w14:paraId="57B3A075" w14:textId="21F2B25E" w:rsidR="00B14519" w:rsidRPr="00781112" w:rsidRDefault="00B14519" w:rsidP="008D24E3">
            <w:pPr>
              <w:spacing w:before="0" w:after="200" w:line="276" w:lineRule="auto"/>
              <w:jc w:val="center"/>
            </w:pPr>
            <w:r w:rsidRPr="00781112">
              <w:rPr>
                <w:color w:val="000000" w:themeColor="text1"/>
                <w:szCs w:val="16"/>
              </w:rPr>
              <w:t>70.00%</w:t>
            </w:r>
          </w:p>
        </w:tc>
        <w:tc>
          <w:tcPr>
            <w:tcW w:w="849" w:type="pct"/>
          </w:tcPr>
          <w:p w14:paraId="211F936E" w14:textId="58F0DC2F" w:rsidR="00B14519" w:rsidRPr="00781112" w:rsidRDefault="00B14519" w:rsidP="008D24E3">
            <w:pPr>
              <w:spacing w:before="0" w:after="200" w:line="276" w:lineRule="auto"/>
              <w:jc w:val="center"/>
            </w:pPr>
            <w:r w:rsidRPr="00781112">
              <w:rPr>
                <w:color w:val="000000" w:themeColor="text1"/>
                <w:szCs w:val="16"/>
              </w:rPr>
              <w:t>70.00%</w:t>
            </w:r>
          </w:p>
        </w:tc>
        <w:tc>
          <w:tcPr>
            <w:tcW w:w="849" w:type="pct"/>
          </w:tcPr>
          <w:p w14:paraId="53679E27" w14:textId="6773FF8D" w:rsidR="00B14519" w:rsidRPr="00781112" w:rsidRDefault="00B14519" w:rsidP="008D24E3">
            <w:pPr>
              <w:spacing w:before="0" w:after="200" w:line="276" w:lineRule="auto"/>
              <w:jc w:val="center"/>
            </w:pPr>
            <w:r w:rsidRPr="00781112">
              <w:rPr>
                <w:color w:val="000000" w:themeColor="text1"/>
                <w:szCs w:val="16"/>
              </w:rPr>
              <w:t>70.00%</w:t>
            </w:r>
          </w:p>
        </w:tc>
        <w:tc>
          <w:tcPr>
            <w:tcW w:w="849" w:type="pct"/>
          </w:tcPr>
          <w:p w14:paraId="492B2B0A" w14:textId="258B9D99" w:rsidR="00B14519" w:rsidRPr="00781112" w:rsidRDefault="00B14519" w:rsidP="008D24E3">
            <w:pPr>
              <w:spacing w:before="0" w:after="200" w:line="276" w:lineRule="auto"/>
              <w:jc w:val="center"/>
            </w:pPr>
            <w:r w:rsidRPr="00781112">
              <w:rPr>
                <w:color w:val="000000" w:themeColor="text1"/>
                <w:szCs w:val="16"/>
              </w:rPr>
              <w:t>70.00%</w:t>
            </w:r>
          </w:p>
        </w:tc>
      </w:tr>
    </w:tbl>
    <w:p w14:paraId="25B7ED55" w14:textId="77777777" w:rsidR="00CE0C68" w:rsidRPr="00781112" w:rsidRDefault="00CE0C68" w:rsidP="004369B2">
      <w:pPr>
        <w:rPr>
          <w:color w:val="000000" w:themeColor="text1"/>
        </w:rPr>
      </w:pPr>
    </w:p>
    <w:p w14:paraId="639445A0" w14:textId="725332EC" w:rsidR="00634AD8" w:rsidRPr="00781112" w:rsidRDefault="0047313F">
      <w:pPr>
        <w:rPr>
          <w:b/>
          <w:color w:val="000000" w:themeColor="text1"/>
        </w:rPr>
      </w:pPr>
      <w:r>
        <w:rPr>
          <w:b/>
          <w:color w:val="000000" w:themeColor="text1"/>
        </w:rPr>
        <w:t>FFY 2021 SPP/APR Data</w:t>
      </w:r>
    </w:p>
    <w:p w14:paraId="59EF63A0" w14:textId="77777777" w:rsidR="00127006" w:rsidRPr="00781112" w:rsidRDefault="00127006"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1"/>
      </w:tblPr>
      <w:tblGrid>
        <w:gridCol w:w="1634"/>
        <w:gridCol w:w="1625"/>
        <w:gridCol w:w="1271"/>
        <w:gridCol w:w="1908"/>
        <w:gridCol w:w="1493"/>
        <w:gridCol w:w="1452"/>
        <w:gridCol w:w="1407"/>
      </w:tblGrid>
      <w:tr w:rsidR="00B21923" w:rsidRPr="00781112" w14:paraId="7CE022CD" w14:textId="689D2875" w:rsidTr="00877012">
        <w:trPr>
          <w:trHeight w:val="354"/>
          <w:tblHeader/>
        </w:trPr>
        <w:tc>
          <w:tcPr>
            <w:tcW w:w="757" w:type="pct"/>
            <w:shd w:val="clear" w:color="auto" w:fill="auto"/>
            <w:vAlign w:val="bottom"/>
          </w:tcPr>
          <w:p w14:paraId="4A4004E2"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753" w:type="pct"/>
            <w:shd w:val="clear" w:color="auto" w:fill="auto"/>
            <w:vAlign w:val="bottom"/>
          </w:tcPr>
          <w:p w14:paraId="15083250"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shd w:val="clear" w:color="auto" w:fill="auto"/>
            <w:vAlign w:val="bottom"/>
          </w:tcPr>
          <w:p w14:paraId="61FCEFFA" w14:textId="7CD58682" w:rsidR="00B21923" w:rsidRPr="006D0A52" w:rsidRDefault="00B21923" w:rsidP="00B21923">
            <w:pPr>
              <w:jc w:val="center"/>
              <w:rPr>
                <w:rFonts w:cs="Arial"/>
                <w:b/>
                <w:bCs/>
                <w:color w:val="000000" w:themeColor="text1"/>
                <w:szCs w:val="16"/>
              </w:rPr>
            </w:pPr>
            <w:r w:rsidRPr="006D0A52">
              <w:rPr>
                <w:b/>
                <w:bCs/>
              </w:rPr>
              <w:t>FFY 2020 Data</w:t>
            </w:r>
          </w:p>
        </w:tc>
        <w:tc>
          <w:tcPr>
            <w:tcW w:w="884" w:type="pct"/>
            <w:shd w:val="clear" w:color="auto" w:fill="auto"/>
            <w:vAlign w:val="bottom"/>
          </w:tcPr>
          <w:p w14:paraId="5285C3DA" w14:textId="6BAE9C76" w:rsidR="00B21923" w:rsidRPr="006D0A52" w:rsidRDefault="00B21923" w:rsidP="00B21923">
            <w:pPr>
              <w:jc w:val="center"/>
              <w:rPr>
                <w:rFonts w:cs="Arial"/>
                <w:b/>
                <w:bCs/>
                <w:color w:val="000000" w:themeColor="text1"/>
                <w:szCs w:val="16"/>
              </w:rPr>
            </w:pPr>
            <w:r w:rsidRPr="006D0A52">
              <w:rPr>
                <w:b/>
                <w:bCs/>
              </w:rPr>
              <w:t>FFY 2021 Target</w:t>
            </w:r>
          </w:p>
        </w:tc>
        <w:tc>
          <w:tcPr>
            <w:tcW w:w="692" w:type="pct"/>
            <w:shd w:val="clear" w:color="auto" w:fill="auto"/>
            <w:vAlign w:val="bottom"/>
          </w:tcPr>
          <w:p w14:paraId="767EE33A" w14:textId="24B54F4F" w:rsidR="00B21923" w:rsidRPr="006D0A52" w:rsidRDefault="00B21923" w:rsidP="00B21923">
            <w:pPr>
              <w:jc w:val="center"/>
              <w:rPr>
                <w:rFonts w:cs="Arial"/>
                <w:b/>
                <w:bCs/>
                <w:color w:val="000000" w:themeColor="text1"/>
                <w:szCs w:val="16"/>
              </w:rPr>
            </w:pPr>
            <w:r w:rsidRPr="006D0A52">
              <w:rPr>
                <w:b/>
                <w:bCs/>
              </w:rPr>
              <w:t>FFY 2021 Data</w:t>
            </w:r>
          </w:p>
        </w:tc>
        <w:tc>
          <w:tcPr>
            <w:tcW w:w="673" w:type="pct"/>
            <w:shd w:val="clear" w:color="auto" w:fill="auto"/>
            <w:vAlign w:val="bottom"/>
          </w:tcPr>
          <w:p w14:paraId="3FC7FD1C" w14:textId="7EA4D921"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652" w:type="pct"/>
            <w:shd w:val="clear" w:color="auto" w:fill="auto"/>
            <w:vAlign w:val="bottom"/>
          </w:tcPr>
          <w:p w14:paraId="7025F3A2" w14:textId="466A0744"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104AFA36" w14:textId="7B00739A" w:rsidTr="00877012">
        <w:trPr>
          <w:trHeight w:val="361"/>
        </w:trPr>
        <w:tc>
          <w:tcPr>
            <w:tcW w:w="757" w:type="pct"/>
            <w:shd w:val="clear" w:color="auto" w:fill="auto"/>
            <w:vAlign w:val="center"/>
          </w:tcPr>
          <w:p w14:paraId="3DA400B1" w14:textId="063A879F" w:rsidR="00372DF8" w:rsidRPr="00781112" w:rsidRDefault="002B7490" w:rsidP="00A018D4">
            <w:pPr>
              <w:jc w:val="center"/>
              <w:rPr>
                <w:rFonts w:cs="Arial"/>
                <w:color w:val="000000" w:themeColor="text1"/>
                <w:szCs w:val="16"/>
              </w:rPr>
            </w:pPr>
            <w:r w:rsidRPr="00781112">
              <w:rPr>
                <w:rFonts w:cs="Arial"/>
                <w:color w:val="000000" w:themeColor="text1"/>
                <w:szCs w:val="16"/>
              </w:rPr>
              <w:t>1</w:t>
            </w:r>
          </w:p>
        </w:tc>
        <w:tc>
          <w:tcPr>
            <w:tcW w:w="753" w:type="pct"/>
            <w:shd w:val="clear" w:color="auto" w:fill="auto"/>
          </w:tcPr>
          <w:p w14:paraId="57BB67A2" w14:textId="2B997355" w:rsidR="00372DF8"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589" w:type="pct"/>
            <w:shd w:val="clear" w:color="auto" w:fill="auto"/>
          </w:tcPr>
          <w:p w14:paraId="759C2AEB" w14:textId="7C5FF94E" w:rsidR="00372DF8" w:rsidRPr="00781112" w:rsidRDefault="002B7490" w:rsidP="00A018D4">
            <w:pPr>
              <w:jc w:val="center"/>
              <w:rPr>
                <w:rFonts w:cs="Arial"/>
                <w:color w:val="000000" w:themeColor="text1"/>
                <w:szCs w:val="16"/>
              </w:rPr>
            </w:pPr>
            <w:r w:rsidRPr="00781112">
              <w:rPr>
                <w:rFonts w:cs="Arial"/>
                <w:color w:val="000000" w:themeColor="text1"/>
                <w:szCs w:val="16"/>
              </w:rPr>
              <w:t>85.71%</w:t>
            </w:r>
          </w:p>
        </w:tc>
        <w:tc>
          <w:tcPr>
            <w:tcW w:w="884" w:type="pct"/>
            <w:shd w:val="clear" w:color="auto" w:fill="auto"/>
          </w:tcPr>
          <w:p w14:paraId="446CA14A" w14:textId="2AFBAFDB" w:rsidR="00372DF8" w:rsidRPr="00781112" w:rsidRDefault="002B7490" w:rsidP="00A018D4">
            <w:pPr>
              <w:jc w:val="center"/>
              <w:rPr>
                <w:rFonts w:cs="Arial"/>
                <w:color w:val="000000" w:themeColor="text1"/>
                <w:szCs w:val="16"/>
              </w:rPr>
            </w:pPr>
            <w:r w:rsidRPr="00781112">
              <w:rPr>
                <w:rFonts w:cs="Arial"/>
                <w:color w:val="000000" w:themeColor="text1"/>
                <w:szCs w:val="16"/>
              </w:rPr>
              <w:t>70.00%</w:t>
            </w:r>
          </w:p>
        </w:tc>
        <w:tc>
          <w:tcPr>
            <w:tcW w:w="692" w:type="pct"/>
            <w:shd w:val="clear" w:color="auto" w:fill="auto"/>
          </w:tcPr>
          <w:p w14:paraId="4B8389D1" w14:textId="31159250" w:rsidR="00372DF8" w:rsidRPr="00781112" w:rsidRDefault="002B7490" w:rsidP="00A018D4">
            <w:pPr>
              <w:jc w:val="center"/>
              <w:rPr>
                <w:rFonts w:cs="Arial"/>
                <w:color w:val="000000" w:themeColor="text1"/>
                <w:szCs w:val="16"/>
              </w:rPr>
            </w:pPr>
            <w:r w:rsidRPr="00781112">
              <w:rPr>
                <w:rFonts w:cs="Arial"/>
                <w:color w:val="000000" w:themeColor="text1"/>
                <w:szCs w:val="16"/>
              </w:rPr>
              <w:t>16.67%</w:t>
            </w:r>
          </w:p>
        </w:tc>
        <w:tc>
          <w:tcPr>
            <w:tcW w:w="673" w:type="pct"/>
            <w:shd w:val="clear" w:color="auto" w:fill="auto"/>
          </w:tcPr>
          <w:p w14:paraId="73DE10E2" w14:textId="0659DF1D" w:rsidR="00372DF8"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52" w:type="pct"/>
            <w:shd w:val="clear" w:color="auto" w:fill="auto"/>
          </w:tcPr>
          <w:p w14:paraId="5B5FCE8F" w14:textId="2E877FC8" w:rsidR="00372DF8"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17FB0CE9" w14:textId="4D22C9D8" w:rsidR="008E31C4" w:rsidRPr="00781112" w:rsidRDefault="00293C7E" w:rsidP="008E31C4">
      <w:pPr>
        <w:rPr>
          <w:rFonts w:cs="Arial"/>
          <w:b/>
          <w:i/>
          <w:color w:val="000000" w:themeColor="text1"/>
          <w:szCs w:val="16"/>
        </w:rPr>
      </w:pPr>
      <w:r w:rsidRPr="00781112">
        <w:rPr>
          <w:rFonts w:cs="Arial"/>
          <w:b/>
          <w:color w:val="000000" w:themeColor="text1"/>
          <w:szCs w:val="16"/>
        </w:rPr>
        <w:t>Provide reasons for slippage, if applicable</w:t>
      </w:r>
    </w:p>
    <w:p w14:paraId="6F380FC4" w14:textId="5A67135B" w:rsidR="00293C7E" w:rsidRPr="00781112" w:rsidRDefault="002B7490" w:rsidP="008E31C4">
      <w:pPr>
        <w:rPr>
          <w:rFonts w:cs="Arial"/>
          <w:color w:val="000000" w:themeColor="text1"/>
          <w:szCs w:val="16"/>
        </w:rPr>
      </w:pPr>
      <w:r w:rsidRPr="00781112">
        <w:rPr>
          <w:rFonts w:cs="Arial"/>
          <w:color w:val="000000" w:themeColor="text1"/>
          <w:szCs w:val="16"/>
        </w:rPr>
        <w:t>The State reported fewer than ten resolution sessions held in FFY 2020.</w:t>
      </w:r>
      <w:r w:rsidRPr="00781112">
        <w:rPr>
          <w:rFonts w:cs="Arial"/>
          <w:color w:val="000000" w:themeColor="text1"/>
          <w:szCs w:val="16"/>
        </w:rPr>
        <w:br/>
      </w:r>
      <w:r w:rsidRPr="00781112">
        <w:rPr>
          <w:rFonts w:cs="Arial"/>
          <w:color w:val="000000" w:themeColor="text1"/>
          <w:szCs w:val="16"/>
        </w:rPr>
        <w:br/>
        <w:t>Five of six resolution sessions were not resolved through settlement agreements in FFY 2021. Three of the five resolution sessions were cancelled with a resolution, settlement or decision. A fourth hearing request had a decision made in favor of the parent. The remaining case which did not have a resolution agreement was given an extension at the request of the parties involved and a hearing decision was made within timeline in July 2022.</w:t>
      </w:r>
    </w:p>
    <w:p w14:paraId="41C1290A" w14:textId="0F368A1B"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225AF7B0" w14:textId="0953EFAC" w:rsidR="00293C7E" w:rsidRPr="00781112" w:rsidRDefault="00293C7E" w:rsidP="007D435F">
      <w:pPr>
        <w:rPr>
          <w:rFonts w:cs="Arial"/>
          <w:color w:val="000000" w:themeColor="text1"/>
          <w:szCs w:val="16"/>
        </w:rPr>
      </w:pPr>
    </w:p>
    <w:p w14:paraId="69486921" w14:textId="29EDB346" w:rsidR="00293C7E" w:rsidRPr="00781112" w:rsidRDefault="00DF2D3A" w:rsidP="00123D76">
      <w:pPr>
        <w:pStyle w:val="Heading2"/>
      </w:pPr>
      <w:r w:rsidRPr="00781112">
        <w:t>15</w:t>
      </w:r>
      <w:r w:rsidR="001D508D" w:rsidRPr="00781112">
        <w:t xml:space="preserve"> </w:t>
      </w:r>
      <w:r w:rsidRPr="00781112">
        <w:t xml:space="preserve">- </w:t>
      </w:r>
      <w:r w:rsidR="00293C7E" w:rsidRPr="00781112">
        <w:t>Prior FFY Required Actions</w:t>
      </w:r>
    </w:p>
    <w:p w14:paraId="19F5FEB1" w14:textId="2905DE18" w:rsidR="00293C7E" w:rsidRPr="00781112" w:rsidRDefault="002B7490" w:rsidP="00293C7E">
      <w:pPr>
        <w:rPr>
          <w:rFonts w:cs="Arial"/>
          <w:color w:val="000000" w:themeColor="text1"/>
          <w:szCs w:val="16"/>
        </w:rPr>
      </w:pPr>
      <w:r w:rsidRPr="00781112">
        <w:rPr>
          <w:rFonts w:cs="Arial"/>
          <w:color w:val="000000" w:themeColor="text1"/>
          <w:szCs w:val="16"/>
        </w:rPr>
        <w:t>None</w:t>
      </w:r>
    </w:p>
    <w:p w14:paraId="6506D351" w14:textId="1F034745" w:rsidR="00913A33" w:rsidRPr="00781112" w:rsidRDefault="00DF2D3A" w:rsidP="00123D76">
      <w:pPr>
        <w:pStyle w:val="Heading2"/>
      </w:pPr>
      <w:r w:rsidRPr="00781112">
        <w:t>15 - OSEP Response</w:t>
      </w:r>
    </w:p>
    <w:p w14:paraId="639FEA08" w14:textId="30C19155" w:rsidR="00293C7E" w:rsidRPr="00781112" w:rsidRDefault="002B7490" w:rsidP="001F692C">
      <w:pPr>
        <w:rPr>
          <w:rFonts w:cs="Arial"/>
          <w:color w:val="000000" w:themeColor="text1"/>
          <w:szCs w:val="16"/>
        </w:rPr>
      </w:pPr>
      <w:r w:rsidRPr="00781112">
        <w:rPr>
          <w:rFonts w:cs="Arial"/>
          <w:color w:val="000000" w:themeColor="text1"/>
          <w:szCs w:val="16"/>
        </w:rPr>
        <w:t>The State reported fewer than ten resolution sessions held in FFY 2021. The State is not required to meet its targets until any fiscal year in which ten or more resolution sessions were held.</w:t>
      </w:r>
    </w:p>
    <w:p w14:paraId="7634025D" w14:textId="5BD1D671" w:rsidR="00913A33" w:rsidRPr="00781112" w:rsidRDefault="00DF2D3A" w:rsidP="00123D76">
      <w:pPr>
        <w:pStyle w:val="Heading2"/>
      </w:pPr>
      <w:r w:rsidRPr="00781112">
        <w:t>15 - Required Actions</w:t>
      </w:r>
    </w:p>
    <w:p w14:paraId="06C735B1" w14:textId="277EA689" w:rsidR="00293C7E" w:rsidRPr="00781112" w:rsidRDefault="00293C7E" w:rsidP="001F692C">
      <w:pPr>
        <w:rPr>
          <w:rFonts w:cs="Arial"/>
          <w:color w:val="000000" w:themeColor="text1"/>
          <w:szCs w:val="16"/>
        </w:rPr>
      </w:pPr>
    </w:p>
    <w:p w14:paraId="259DEDCC"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3B0D4FE" w14:textId="095B9B99" w:rsidR="007F0CEC" w:rsidRPr="00781112" w:rsidRDefault="007F0CEC" w:rsidP="000444E2">
      <w:pPr>
        <w:pStyle w:val="Heading1"/>
        <w:rPr>
          <w:color w:val="000000" w:themeColor="text1"/>
          <w:sz w:val="22"/>
        </w:rPr>
      </w:pPr>
      <w:r w:rsidRPr="00781112">
        <w:rPr>
          <w:color w:val="000000" w:themeColor="text1"/>
          <w:sz w:val="22"/>
        </w:rPr>
        <w:t>Indicator 16: Mediation</w:t>
      </w:r>
    </w:p>
    <w:p w14:paraId="589E185D" w14:textId="77777777" w:rsidR="00BF232E" w:rsidRPr="00781112" w:rsidRDefault="00BF232E" w:rsidP="00A018D4">
      <w:pPr>
        <w:rPr>
          <w:color w:val="000000" w:themeColor="text1"/>
          <w:szCs w:val="20"/>
        </w:rPr>
      </w:pPr>
      <w:bookmarkStart w:id="89" w:name="_Toc382731916"/>
      <w:bookmarkStart w:id="90" w:name="_Toc392159344"/>
      <w:r w:rsidRPr="00781112">
        <w:rPr>
          <w:b/>
          <w:color w:val="000000" w:themeColor="text1"/>
          <w:sz w:val="20"/>
          <w:szCs w:val="20"/>
        </w:rPr>
        <w:t>Instructions and Measurement</w:t>
      </w:r>
    </w:p>
    <w:p w14:paraId="41E7E4F9" w14:textId="500BC36F"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573A26D5"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7847EFFB" w14:textId="03A11F4B"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0F859DBB" w14:textId="77777777" w:rsidR="00692B95" w:rsidRPr="00781112" w:rsidRDefault="00692B95" w:rsidP="004369B2">
      <w:pPr>
        <w:rPr>
          <w:color w:val="000000" w:themeColor="text1"/>
        </w:rPr>
      </w:pPr>
      <w:r w:rsidRPr="00781112">
        <w:rPr>
          <w:b/>
          <w:color w:val="000000" w:themeColor="text1"/>
        </w:rPr>
        <w:t>Data Source</w:t>
      </w:r>
    </w:p>
    <w:p w14:paraId="1400D43F" w14:textId="253D0B1A" w:rsidR="00692B95" w:rsidRPr="00781112" w:rsidRDefault="00692B95" w:rsidP="008E31C4">
      <w:pPr>
        <w:rPr>
          <w:rFonts w:cs="Arial"/>
          <w:color w:val="000000" w:themeColor="text1"/>
          <w:szCs w:val="16"/>
        </w:rPr>
      </w:pPr>
      <w:r w:rsidRPr="00781112">
        <w:rPr>
          <w:rFonts w:cs="Arial"/>
          <w:color w:val="000000" w:themeColor="text1"/>
          <w:szCs w:val="16"/>
        </w:rPr>
        <w:t>Data collected under section 618 of the IDEA (IDEA Part B Dispute Resolution Survey in the EDFacts Metadata and Process System (E</w:t>
      </w:r>
      <w:r w:rsidR="00E65E32" w:rsidRPr="00781112">
        <w:rPr>
          <w:rFonts w:cs="Arial"/>
          <w:i/>
          <w:color w:val="000000" w:themeColor="text1"/>
          <w:szCs w:val="16"/>
        </w:rPr>
        <w:t>MAPS</w:t>
      </w:r>
      <w:r w:rsidRPr="00781112">
        <w:rPr>
          <w:rFonts w:cs="Arial"/>
          <w:color w:val="000000" w:themeColor="text1"/>
          <w:szCs w:val="16"/>
        </w:rPr>
        <w:t>)).</w:t>
      </w:r>
    </w:p>
    <w:p w14:paraId="7EDB2909" w14:textId="77777777" w:rsidR="00692B95" w:rsidRPr="00781112" w:rsidRDefault="00692B95" w:rsidP="004369B2">
      <w:pPr>
        <w:rPr>
          <w:color w:val="000000" w:themeColor="text1"/>
        </w:rPr>
      </w:pPr>
      <w:r w:rsidRPr="00781112">
        <w:rPr>
          <w:b/>
          <w:color w:val="000000" w:themeColor="text1"/>
        </w:rPr>
        <w:t>Measurement</w:t>
      </w:r>
    </w:p>
    <w:p w14:paraId="38C2284B" w14:textId="1E75D304" w:rsidR="00692B95" w:rsidRPr="00781112" w:rsidRDefault="00692B95" w:rsidP="008E31C4">
      <w:pPr>
        <w:rPr>
          <w:rFonts w:cs="Arial"/>
          <w:color w:val="000000" w:themeColor="text1"/>
          <w:szCs w:val="16"/>
        </w:rPr>
      </w:pPr>
      <w:r w:rsidRPr="00781112">
        <w:rPr>
          <w:rFonts w:cs="Arial"/>
          <w:color w:val="000000" w:themeColor="text1"/>
          <w:szCs w:val="16"/>
        </w:rPr>
        <w:t>Percent = (2.1(a)(i) + 2.1(b)(i)) divided by 2.1) times 100.</w:t>
      </w:r>
    </w:p>
    <w:p w14:paraId="0B909FFD" w14:textId="77777777" w:rsidR="00692B95" w:rsidRPr="00781112" w:rsidRDefault="00692B95" w:rsidP="004369B2">
      <w:pPr>
        <w:rPr>
          <w:color w:val="000000" w:themeColor="text1"/>
        </w:rPr>
      </w:pPr>
      <w:r w:rsidRPr="00781112">
        <w:rPr>
          <w:b/>
          <w:color w:val="000000" w:themeColor="text1"/>
        </w:rPr>
        <w:t>Instructions</w:t>
      </w:r>
    </w:p>
    <w:p w14:paraId="46565F1D"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7A8BA9D5"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AFF4976" w14:textId="6DE2BA12"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baseline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resolution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0EB22217"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62D2873F" w14:textId="77777777" w:rsidR="00692B95" w:rsidRPr="00781112" w:rsidRDefault="00692B95"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419B733F" w14:textId="44198020"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32179671" w14:textId="1C1C859E" w:rsidR="00B37C74" w:rsidRPr="00781112" w:rsidRDefault="001C46DC" w:rsidP="00123D76">
      <w:pPr>
        <w:pStyle w:val="Heading2"/>
      </w:pPr>
      <w:r w:rsidRPr="00781112">
        <w:t>16</w:t>
      </w:r>
      <w:r w:rsidR="001D508D" w:rsidRPr="00781112">
        <w:t xml:space="preserve"> </w:t>
      </w:r>
      <w:r w:rsidRPr="00781112">
        <w:t xml:space="preserve">- </w:t>
      </w:r>
      <w:r w:rsidR="00BF232E" w:rsidRPr="00781112">
        <w:t>Indicator Data</w:t>
      </w:r>
    </w:p>
    <w:p w14:paraId="6A39385A" w14:textId="49DFE75B" w:rsidR="00F31AD8" w:rsidRPr="00781112" w:rsidRDefault="007D219D" w:rsidP="00F31AD8">
      <w:pPr>
        <w:rPr>
          <w:rFonts w:cs="Arial"/>
          <w:b/>
          <w:color w:val="000000" w:themeColor="text1"/>
          <w:szCs w:val="16"/>
        </w:rPr>
      </w:pPr>
      <w:r w:rsidRPr="00781112">
        <w:rPr>
          <w:rFonts w:cs="Arial"/>
          <w:b/>
          <w:color w:val="000000" w:themeColor="text1"/>
          <w:szCs w:val="16"/>
        </w:rPr>
        <w:t>Select yes to use target ranges</w:t>
      </w:r>
    </w:p>
    <w:p w14:paraId="6CBE99A1" w14:textId="4EA49071" w:rsidR="00F31AD8" w:rsidRPr="00781112" w:rsidRDefault="00F31AD8" w:rsidP="004369B2">
      <w:pPr>
        <w:rPr>
          <w:color w:val="000000" w:themeColor="text1"/>
        </w:rPr>
      </w:pPr>
      <w:r w:rsidRPr="00781112">
        <w:rPr>
          <w:rFonts w:cs="Arial"/>
          <w:color w:val="000000" w:themeColor="text1"/>
          <w:szCs w:val="16"/>
        </w:rPr>
        <w:t>Target Range not used</w:t>
      </w:r>
    </w:p>
    <w:bookmarkEnd w:id="89"/>
    <w:bookmarkEnd w:id="90"/>
    <w:p w14:paraId="3951D0E9" w14:textId="77777777" w:rsidR="00DA3157" w:rsidRPr="00781112" w:rsidRDefault="00DA3157" w:rsidP="004369B2">
      <w:pPr>
        <w:rPr>
          <w:color w:val="000000" w:themeColor="text1"/>
        </w:rPr>
      </w:pPr>
    </w:p>
    <w:p w14:paraId="118840D3" w14:textId="0C4E77AD"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61A5E3A0" w14:textId="77777777" w:rsidTr="0064117D">
        <w:trPr>
          <w:trHeight w:val="372"/>
          <w:tblHeader/>
        </w:trPr>
        <w:tc>
          <w:tcPr>
            <w:tcW w:w="1249" w:type="pct"/>
            <w:shd w:val="clear" w:color="auto" w:fill="auto"/>
          </w:tcPr>
          <w:p w14:paraId="332BA503"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shd w:val="clear" w:color="auto" w:fill="auto"/>
          </w:tcPr>
          <w:p w14:paraId="2C662D12"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shd w:val="clear" w:color="auto" w:fill="auto"/>
          </w:tcPr>
          <w:p w14:paraId="66DBE23B"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shd w:val="clear" w:color="auto" w:fill="auto"/>
          </w:tcPr>
          <w:p w14:paraId="1C82D158"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0EB08E99" w14:textId="77777777" w:rsidTr="0064117D">
        <w:trPr>
          <w:trHeight w:val="380"/>
        </w:trPr>
        <w:tc>
          <w:tcPr>
            <w:tcW w:w="1249" w:type="pct"/>
            <w:shd w:val="clear" w:color="auto" w:fill="auto"/>
          </w:tcPr>
          <w:p w14:paraId="341A55FB" w14:textId="389190B6" w:rsidR="001126C3" w:rsidRPr="00781112" w:rsidRDefault="002B7490" w:rsidP="001126C3">
            <w:pPr>
              <w:jc w:val="center"/>
              <w:rPr>
                <w:rFonts w:cs="Arial"/>
                <w:color w:val="000000" w:themeColor="text1"/>
                <w:szCs w:val="16"/>
              </w:rPr>
            </w:pPr>
            <w:r w:rsidRPr="00781112">
              <w:rPr>
                <w:rFonts w:cs="Arial"/>
                <w:color w:val="000000" w:themeColor="text1"/>
                <w:szCs w:val="16"/>
              </w:rPr>
              <w:t>SY 2021-22 EMAPS IDEA Part B Dispute Resolution Survey; Section B: Mediation Requests</w:t>
            </w:r>
          </w:p>
        </w:tc>
        <w:tc>
          <w:tcPr>
            <w:tcW w:w="1293" w:type="pct"/>
            <w:shd w:val="clear" w:color="auto" w:fill="auto"/>
          </w:tcPr>
          <w:p w14:paraId="71614464" w14:textId="4369755A" w:rsidR="001126C3" w:rsidRPr="00781112" w:rsidRDefault="008174C3" w:rsidP="001126C3">
            <w:pPr>
              <w:jc w:val="center"/>
              <w:rPr>
                <w:rFonts w:cs="Arial"/>
                <w:color w:val="000000" w:themeColor="text1"/>
                <w:szCs w:val="16"/>
              </w:rPr>
            </w:pPr>
            <w:r w:rsidRPr="00781112">
              <w:rPr>
                <w:rFonts w:cs="Arial"/>
                <w:color w:val="000000" w:themeColor="text1"/>
                <w:szCs w:val="16"/>
              </w:rPr>
              <w:t>11/02/2022</w:t>
            </w:r>
          </w:p>
        </w:tc>
        <w:tc>
          <w:tcPr>
            <w:tcW w:w="1632" w:type="pct"/>
            <w:shd w:val="clear" w:color="auto" w:fill="auto"/>
          </w:tcPr>
          <w:p w14:paraId="3B8991BC" w14:textId="35D24A7C"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shd w:val="clear" w:color="auto" w:fill="auto"/>
          </w:tcPr>
          <w:p w14:paraId="27A8B83C" w14:textId="708549A5" w:rsidR="001126C3" w:rsidRPr="00781112" w:rsidRDefault="002B7490" w:rsidP="00A018D4">
            <w:pPr>
              <w:jc w:val="center"/>
              <w:rPr>
                <w:rFonts w:cs="Arial"/>
                <w:color w:val="000000" w:themeColor="text1"/>
                <w:szCs w:val="16"/>
              </w:rPr>
            </w:pPr>
            <w:r w:rsidRPr="00781112">
              <w:rPr>
                <w:rFonts w:cs="Arial"/>
                <w:color w:val="000000" w:themeColor="text1"/>
                <w:szCs w:val="16"/>
              </w:rPr>
              <w:t>10</w:t>
            </w:r>
          </w:p>
        </w:tc>
      </w:tr>
      <w:tr w:rsidR="005C29F8" w:rsidRPr="00781112" w14:paraId="438B012B" w14:textId="77777777" w:rsidTr="0064117D">
        <w:trPr>
          <w:trHeight w:val="380"/>
        </w:trPr>
        <w:tc>
          <w:tcPr>
            <w:tcW w:w="1249" w:type="pct"/>
            <w:shd w:val="clear" w:color="auto" w:fill="auto"/>
          </w:tcPr>
          <w:p w14:paraId="265B2AEC" w14:textId="3FC7D25D" w:rsidR="001126C3" w:rsidRPr="00781112" w:rsidRDefault="008174C3" w:rsidP="001126C3">
            <w:pPr>
              <w:jc w:val="center"/>
              <w:rPr>
                <w:rFonts w:cs="Arial"/>
                <w:color w:val="000000" w:themeColor="text1"/>
                <w:szCs w:val="16"/>
              </w:rPr>
            </w:pPr>
            <w:r w:rsidRPr="00781112">
              <w:rPr>
                <w:rFonts w:cs="Arial"/>
                <w:color w:val="000000" w:themeColor="text1"/>
                <w:szCs w:val="16"/>
              </w:rPr>
              <w:t>SY 2021-22 EMAPS IDEA Part B Dispute Resolution Survey; Section B: Mediation Requests</w:t>
            </w:r>
          </w:p>
        </w:tc>
        <w:tc>
          <w:tcPr>
            <w:tcW w:w="1293" w:type="pct"/>
            <w:shd w:val="clear" w:color="auto" w:fill="auto"/>
          </w:tcPr>
          <w:p w14:paraId="128A6113" w14:textId="6FDE1D5D" w:rsidR="001126C3" w:rsidRPr="00781112" w:rsidRDefault="008174C3" w:rsidP="001126C3">
            <w:pPr>
              <w:jc w:val="center"/>
              <w:rPr>
                <w:rFonts w:cs="Arial"/>
                <w:color w:val="000000" w:themeColor="text1"/>
                <w:szCs w:val="16"/>
              </w:rPr>
            </w:pPr>
            <w:r w:rsidRPr="00781112">
              <w:rPr>
                <w:rFonts w:cs="Arial"/>
                <w:color w:val="000000" w:themeColor="text1"/>
                <w:szCs w:val="16"/>
              </w:rPr>
              <w:t>11/02/2022</w:t>
            </w:r>
          </w:p>
        </w:tc>
        <w:tc>
          <w:tcPr>
            <w:tcW w:w="1632" w:type="pct"/>
            <w:shd w:val="clear" w:color="auto" w:fill="auto"/>
          </w:tcPr>
          <w:p w14:paraId="61BAD85D" w14:textId="300FEE8B"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shd w:val="clear" w:color="auto" w:fill="auto"/>
          </w:tcPr>
          <w:p w14:paraId="580B460B" w14:textId="49FBB0F1" w:rsidR="001126C3" w:rsidRPr="00781112" w:rsidRDefault="002B7490" w:rsidP="00A018D4">
            <w:pPr>
              <w:jc w:val="center"/>
              <w:rPr>
                <w:rFonts w:cs="Arial"/>
                <w:color w:val="000000" w:themeColor="text1"/>
                <w:szCs w:val="16"/>
              </w:rPr>
            </w:pPr>
            <w:r w:rsidRPr="00781112">
              <w:rPr>
                <w:rFonts w:cs="Arial"/>
                <w:color w:val="000000" w:themeColor="text1"/>
                <w:szCs w:val="16"/>
              </w:rPr>
              <w:t>0</w:t>
            </w:r>
          </w:p>
        </w:tc>
      </w:tr>
      <w:tr w:rsidR="005C29F8" w:rsidRPr="00781112" w14:paraId="53310D0D" w14:textId="77777777" w:rsidTr="0064117D">
        <w:trPr>
          <w:trHeight w:val="380"/>
        </w:trPr>
        <w:tc>
          <w:tcPr>
            <w:tcW w:w="1249" w:type="pct"/>
            <w:shd w:val="clear" w:color="auto" w:fill="auto"/>
          </w:tcPr>
          <w:p w14:paraId="295563AC" w14:textId="371961FC" w:rsidR="001126C3" w:rsidRPr="00781112" w:rsidRDefault="008174C3" w:rsidP="001126C3">
            <w:pPr>
              <w:jc w:val="center"/>
              <w:rPr>
                <w:rFonts w:cs="Arial"/>
                <w:color w:val="000000" w:themeColor="text1"/>
                <w:szCs w:val="16"/>
              </w:rPr>
            </w:pPr>
            <w:r w:rsidRPr="00781112">
              <w:rPr>
                <w:rFonts w:cs="Arial"/>
                <w:color w:val="000000" w:themeColor="text1"/>
                <w:szCs w:val="16"/>
              </w:rPr>
              <w:t>SY 2021-22 EMAPS IDEA Part B Dispute Resolution Survey; Section B: Mediation Requests</w:t>
            </w:r>
          </w:p>
        </w:tc>
        <w:tc>
          <w:tcPr>
            <w:tcW w:w="1293" w:type="pct"/>
            <w:shd w:val="clear" w:color="auto" w:fill="auto"/>
          </w:tcPr>
          <w:p w14:paraId="4BDD8D48" w14:textId="63D0DB48" w:rsidR="001126C3" w:rsidRPr="00781112" w:rsidRDefault="008174C3" w:rsidP="001126C3">
            <w:pPr>
              <w:jc w:val="center"/>
              <w:rPr>
                <w:rFonts w:cs="Arial"/>
                <w:color w:val="000000" w:themeColor="text1"/>
                <w:szCs w:val="16"/>
              </w:rPr>
            </w:pPr>
            <w:r w:rsidRPr="00781112">
              <w:rPr>
                <w:rFonts w:cs="Arial"/>
                <w:color w:val="000000" w:themeColor="text1"/>
                <w:szCs w:val="16"/>
              </w:rPr>
              <w:t>11/02/2022</w:t>
            </w:r>
          </w:p>
        </w:tc>
        <w:tc>
          <w:tcPr>
            <w:tcW w:w="1632" w:type="pct"/>
            <w:shd w:val="clear" w:color="auto" w:fill="auto"/>
          </w:tcPr>
          <w:p w14:paraId="0D81EE28" w14:textId="0901AFA3"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shd w:val="clear" w:color="auto" w:fill="auto"/>
          </w:tcPr>
          <w:p w14:paraId="4C9A36B1" w14:textId="285B67BA" w:rsidR="001126C3" w:rsidRPr="00781112" w:rsidRDefault="002B7490" w:rsidP="00A018D4">
            <w:pPr>
              <w:jc w:val="center"/>
              <w:rPr>
                <w:rFonts w:cs="Arial"/>
                <w:color w:val="000000" w:themeColor="text1"/>
                <w:szCs w:val="16"/>
              </w:rPr>
            </w:pPr>
            <w:r w:rsidRPr="00781112">
              <w:rPr>
                <w:rFonts w:cs="Arial"/>
                <w:color w:val="000000" w:themeColor="text1"/>
                <w:szCs w:val="16"/>
              </w:rPr>
              <w:t>8</w:t>
            </w:r>
          </w:p>
        </w:tc>
      </w:tr>
    </w:tbl>
    <w:p w14:paraId="2C4CE14C" w14:textId="5AC27D72" w:rsidR="00E8514E" w:rsidRPr="00781112" w:rsidRDefault="007D219D">
      <w:pPr>
        <w:rPr>
          <w:b/>
          <w:color w:val="000000" w:themeColor="text1"/>
        </w:rPr>
      </w:pPr>
      <w:r w:rsidRPr="00781112">
        <w:rPr>
          <w:b/>
          <w:color w:val="000000" w:themeColor="text1"/>
        </w:rPr>
        <w:t>Select yes if the data reported in this indicator are not the same as the State’s data reported under section 618 of the IDEA.</w:t>
      </w:r>
    </w:p>
    <w:p w14:paraId="69D1C140" w14:textId="4BF355D3" w:rsidR="00E8514E" w:rsidRPr="00781112" w:rsidRDefault="00E8514E">
      <w:pPr>
        <w:rPr>
          <w:color w:val="000000" w:themeColor="text1"/>
        </w:rPr>
      </w:pPr>
      <w:r w:rsidRPr="00781112">
        <w:rPr>
          <w:color w:val="000000" w:themeColor="text1"/>
        </w:rPr>
        <w:t>NO</w:t>
      </w:r>
    </w:p>
    <w:p w14:paraId="1451EE58" w14:textId="77777777" w:rsidR="00945274" w:rsidRPr="00781112" w:rsidRDefault="00945274" w:rsidP="004369B2">
      <w:pPr>
        <w:rPr>
          <w:color w:val="000000" w:themeColor="text1"/>
        </w:rPr>
      </w:pPr>
    </w:p>
    <w:p w14:paraId="58C79350" w14:textId="310C06FF" w:rsidR="000A2C83" w:rsidRPr="00781112" w:rsidRDefault="000A2C83" w:rsidP="004369B2">
      <w:pPr>
        <w:rPr>
          <w:b/>
          <w:color w:val="000000" w:themeColor="text1"/>
        </w:rPr>
      </w:pPr>
      <w:r w:rsidRPr="00781112">
        <w:rPr>
          <w:b/>
          <w:color w:val="000000" w:themeColor="text1"/>
        </w:rPr>
        <w:t xml:space="preserve">Targets: Description of Stakeholder Input </w:t>
      </w:r>
    </w:p>
    <w:p w14:paraId="5F0F979C" w14:textId="2A86F023" w:rsidR="000A2C83" w:rsidRPr="00781112" w:rsidRDefault="000A2C83" w:rsidP="000A2C83">
      <w:pPr>
        <w:rPr>
          <w:rFonts w:cs="Arial"/>
          <w:color w:val="000000" w:themeColor="text1"/>
          <w:szCs w:val="16"/>
        </w:rPr>
      </w:pPr>
    </w:p>
    <w:p w14:paraId="2C7ACE11" w14:textId="77777777" w:rsidR="00E8514E" w:rsidRPr="00781112" w:rsidRDefault="00E8514E" w:rsidP="000A2C83">
      <w:pPr>
        <w:rPr>
          <w:rFonts w:cs="Arial"/>
          <w:color w:val="000000" w:themeColor="text1"/>
          <w:szCs w:val="16"/>
        </w:rPr>
      </w:pPr>
    </w:p>
    <w:p w14:paraId="48B9C9FE" w14:textId="3C4BDA6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57AEABC0" w14:textId="77777777" w:rsidTr="00123D76">
        <w:trPr>
          <w:trHeight w:val="311"/>
          <w:tblHeader/>
        </w:trPr>
        <w:tc>
          <w:tcPr>
            <w:tcW w:w="1797" w:type="dxa"/>
          </w:tcPr>
          <w:p w14:paraId="38CE882B" w14:textId="77777777" w:rsidR="00D75351" w:rsidRPr="00781112" w:rsidRDefault="00D75351" w:rsidP="00123D76">
            <w:pPr>
              <w:jc w:val="center"/>
              <w:rPr>
                <w:b/>
                <w:color w:val="000000" w:themeColor="text1"/>
              </w:rPr>
            </w:pPr>
            <w:r w:rsidRPr="00781112">
              <w:rPr>
                <w:rFonts w:cs="Arial"/>
                <w:b/>
                <w:color w:val="000000" w:themeColor="text1"/>
                <w:szCs w:val="16"/>
              </w:rPr>
              <w:t>Baseline Year</w:t>
            </w:r>
          </w:p>
        </w:tc>
        <w:tc>
          <w:tcPr>
            <w:tcW w:w="1798" w:type="dxa"/>
          </w:tcPr>
          <w:p w14:paraId="664A9E7A"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2B59BCB7" w14:textId="77777777" w:rsidTr="00123D76">
        <w:trPr>
          <w:trHeight w:val="311"/>
        </w:trPr>
        <w:tc>
          <w:tcPr>
            <w:tcW w:w="1797" w:type="dxa"/>
            <w:vAlign w:val="center"/>
          </w:tcPr>
          <w:p w14:paraId="62FFC123" w14:textId="008A4386" w:rsidR="00D75351" w:rsidRPr="00781112" w:rsidRDefault="00D75351" w:rsidP="00123D76">
            <w:pPr>
              <w:jc w:val="center"/>
              <w:rPr>
                <w:bCs/>
                <w:color w:val="000000" w:themeColor="text1"/>
              </w:rPr>
            </w:pPr>
            <w:r w:rsidRPr="00781112">
              <w:rPr>
                <w:bCs/>
                <w:color w:val="000000" w:themeColor="text1"/>
              </w:rPr>
              <w:t>2005</w:t>
            </w:r>
          </w:p>
        </w:tc>
        <w:tc>
          <w:tcPr>
            <w:tcW w:w="1798" w:type="dxa"/>
            <w:vAlign w:val="center"/>
          </w:tcPr>
          <w:p w14:paraId="08A13422" w14:textId="52DBDA3E" w:rsidR="00D75351" w:rsidRPr="00781112" w:rsidRDefault="00D75351" w:rsidP="00123D76">
            <w:pPr>
              <w:jc w:val="center"/>
              <w:rPr>
                <w:bCs/>
                <w:color w:val="000000" w:themeColor="text1"/>
              </w:rPr>
            </w:pPr>
            <w:r w:rsidRPr="00781112">
              <w:rPr>
                <w:bCs/>
                <w:color w:val="000000" w:themeColor="text1"/>
              </w:rPr>
              <w:t>92.31%</w:t>
            </w:r>
          </w:p>
        </w:tc>
      </w:tr>
    </w:tbl>
    <w:p w14:paraId="450682C0"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3061AAFC" w14:textId="77777777" w:rsidTr="004B2960">
        <w:trPr>
          <w:trHeight w:val="350"/>
        </w:trPr>
        <w:tc>
          <w:tcPr>
            <w:tcW w:w="748" w:type="pct"/>
            <w:tcBorders>
              <w:bottom w:val="single" w:sz="4" w:space="0" w:color="auto"/>
            </w:tcBorders>
            <w:shd w:val="clear" w:color="auto" w:fill="auto"/>
          </w:tcPr>
          <w:p w14:paraId="6D321354"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351C61C5" w14:textId="1A27A18C" w:rsidR="008E31C4"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918" w:type="pct"/>
            <w:shd w:val="clear" w:color="auto" w:fill="auto"/>
          </w:tcPr>
          <w:p w14:paraId="1CDF9DE8" w14:textId="0FE9038E" w:rsidR="008E31C4"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49B990DE" w14:textId="2B6E5021" w:rsidR="008E31C4"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792" w:type="pct"/>
            <w:shd w:val="clear" w:color="auto" w:fill="auto"/>
          </w:tcPr>
          <w:p w14:paraId="6EF76857" w14:textId="0F124C26"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75" w:type="pct"/>
            <w:shd w:val="clear" w:color="auto" w:fill="auto"/>
          </w:tcPr>
          <w:p w14:paraId="246ACDB0" w14:textId="7F251A7E" w:rsidR="008E31C4" w:rsidRPr="00781112" w:rsidRDefault="002B7490" w:rsidP="008E31C4">
            <w:pPr>
              <w:jc w:val="center"/>
              <w:rPr>
                <w:rFonts w:cs="Arial"/>
                <w:b/>
                <w:color w:val="000000" w:themeColor="text1"/>
                <w:szCs w:val="16"/>
              </w:rPr>
            </w:pPr>
            <w:r w:rsidRPr="00781112">
              <w:rPr>
                <w:rFonts w:cs="Arial"/>
                <w:b/>
                <w:color w:val="000000" w:themeColor="text1"/>
                <w:szCs w:val="16"/>
              </w:rPr>
              <w:t>2020</w:t>
            </w:r>
          </w:p>
        </w:tc>
      </w:tr>
      <w:tr w:rsidR="005C29F8" w:rsidRPr="00781112" w14:paraId="2A876A9F" w14:textId="77777777" w:rsidTr="004B2960">
        <w:trPr>
          <w:trHeight w:val="357"/>
        </w:trPr>
        <w:tc>
          <w:tcPr>
            <w:tcW w:w="748" w:type="pct"/>
            <w:shd w:val="clear" w:color="auto" w:fill="auto"/>
          </w:tcPr>
          <w:p w14:paraId="2DE95B6B" w14:textId="04DB6250" w:rsidR="008E31C4" w:rsidRPr="00781112" w:rsidRDefault="008E31C4" w:rsidP="008E31C4">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6C64D17D" w14:textId="6F575CE5" w:rsidR="008E31C4" w:rsidRPr="00781112" w:rsidRDefault="002B7490">
            <w:pPr>
              <w:jc w:val="center"/>
              <w:rPr>
                <w:rFonts w:cs="Arial"/>
                <w:color w:val="000000" w:themeColor="text1"/>
                <w:szCs w:val="16"/>
              </w:rPr>
            </w:pPr>
            <w:r w:rsidRPr="00781112">
              <w:rPr>
                <w:rFonts w:cs="Arial"/>
                <w:color w:val="000000" w:themeColor="text1"/>
                <w:szCs w:val="16"/>
              </w:rPr>
              <w:t>83.50%</w:t>
            </w:r>
          </w:p>
        </w:tc>
        <w:tc>
          <w:tcPr>
            <w:tcW w:w="918" w:type="pct"/>
            <w:shd w:val="clear" w:color="auto" w:fill="auto"/>
          </w:tcPr>
          <w:p w14:paraId="72C59C65" w14:textId="44E721D8" w:rsidR="008E31C4" w:rsidRPr="00781112" w:rsidRDefault="002B7490">
            <w:pPr>
              <w:jc w:val="center"/>
              <w:rPr>
                <w:rFonts w:cs="Arial"/>
                <w:color w:val="000000" w:themeColor="text1"/>
                <w:szCs w:val="16"/>
              </w:rPr>
            </w:pPr>
            <w:r w:rsidRPr="00781112">
              <w:rPr>
                <w:rFonts w:cs="Arial"/>
                <w:color w:val="000000" w:themeColor="text1"/>
                <w:szCs w:val="16"/>
              </w:rPr>
              <w:t>84.25%</w:t>
            </w:r>
          </w:p>
        </w:tc>
        <w:tc>
          <w:tcPr>
            <w:tcW w:w="833" w:type="pct"/>
            <w:shd w:val="clear" w:color="auto" w:fill="auto"/>
            <w:vAlign w:val="center"/>
          </w:tcPr>
          <w:p w14:paraId="220DD5CA" w14:textId="720A36A7" w:rsidR="008E31C4" w:rsidRPr="00781112" w:rsidRDefault="002B7490">
            <w:pPr>
              <w:jc w:val="center"/>
              <w:rPr>
                <w:rFonts w:cs="Arial"/>
                <w:color w:val="000000" w:themeColor="text1"/>
                <w:szCs w:val="16"/>
              </w:rPr>
            </w:pPr>
            <w:r w:rsidRPr="00781112">
              <w:rPr>
                <w:rFonts w:cs="Arial"/>
                <w:color w:val="000000" w:themeColor="text1"/>
                <w:szCs w:val="16"/>
              </w:rPr>
              <w:t>85.00%</w:t>
            </w:r>
          </w:p>
        </w:tc>
        <w:tc>
          <w:tcPr>
            <w:tcW w:w="792" w:type="pct"/>
            <w:shd w:val="clear" w:color="auto" w:fill="auto"/>
            <w:vAlign w:val="center"/>
          </w:tcPr>
          <w:p w14:paraId="07CF6D0B" w14:textId="0CDFA70C" w:rsidR="008E31C4" w:rsidRPr="00781112" w:rsidRDefault="002B7490">
            <w:pPr>
              <w:jc w:val="center"/>
              <w:rPr>
                <w:rFonts w:cs="Arial"/>
                <w:color w:val="000000" w:themeColor="text1"/>
                <w:szCs w:val="16"/>
              </w:rPr>
            </w:pPr>
            <w:r w:rsidRPr="00781112">
              <w:rPr>
                <w:rFonts w:cs="Arial"/>
                <w:color w:val="000000" w:themeColor="text1"/>
                <w:szCs w:val="16"/>
              </w:rPr>
              <w:t>85.00%</w:t>
            </w:r>
          </w:p>
        </w:tc>
        <w:tc>
          <w:tcPr>
            <w:tcW w:w="875" w:type="pct"/>
            <w:shd w:val="clear" w:color="auto" w:fill="auto"/>
            <w:vAlign w:val="center"/>
          </w:tcPr>
          <w:p w14:paraId="3B96FD7D" w14:textId="7B182CEE" w:rsidR="008E31C4" w:rsidRPr="00781112" w:rsidRDefault="002B7490">
            <w:pPr>
              <w:jc w:val="center"/>
              <w:rPr>
                <w:rFonts w:cs="Arial"/>
                <w:color w:val="000000" w:themeColor="text1"/>
                <w:szCs w:val="16"/>
              </w:rPr>
            </w:pPr>
            <w:r w:rsidRPr="00781112">
              <w:rPr>
                <w:rFonts w:cs="Arial"/>
                <w:color w:val="000000" w:themeColor="text1"/>
                <w:szCs w:val="16"/>
              </w:rPr>
              <w:t>70.00%</w:t>
            </w:r>
          </w:p>
        </w:tc>
      </w:tr>
      <w:tr w:rsidR="005C29F8" w:rsidRPr="00781112" w14:paraId="34F84ECE" w14:textId="77777777" w:rsidTr="004B2960">
        <w:trPr>
          <w:trHeight w:val="85"/>
        </w:trPr>
        <w:tc>
          <w:tcPr>
            <w:tcW w:w="748" w:type="pct"/>
            <w:shd w:val="clear" w:color="auto" w:fill="auto"/>
          </w:tcPr>
          <w:p w14:paraId="281210CF" w14:textId="77777777" w:rsidR="008E31C4" w:rsidRPr="00781112" w:rsidRDefault="008E31C4"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81B8DC5" w14:textId="4F71DCFC" w:rsidR="008E31C4" w:rsidRPr="00781112" w:rsidRDefault="002B7490">
            <w:pPr>
              <w:jc w:val="center"/>
              <w:rPr>
                <w:rFonts w:cs="Arial"/>
                <w:color w:val="000000" w:themeColor="text1"/>
                <w:szCs w:val="16"/>
              </w:rPr>
            </w:pPr>
            <w:r w:rsidRPr="00781112">
              <w:rPr>
                <w:rFonts w:cs="Arial"/>
                <w:color w:val="000000" w:themeColor="text1"/>
                <w:szCs w:val="16"/>
              </w:rPr>
              <w:t>85.71%</w:t>
            </w:r>
          </w:p>
        </w:tc>
        <w:tc>
          <w:tcPr>
            <w:tcW w:w="918" w:type="pct"/>
            <w:shd w:val="clear" w:color="auto" w:fill="auto"/>
          </w:tcPr>
          <w:p w14:paraId="341A9DBA" w14:textId="51769052" w:rsidR="008E31C4" w:rsidRPr="00781112" w:rsidRDefault="002B7490">
            <w:pPr>
              <w:jc w:val="center"/>
              <w:rPr>
                <w:rFonts w:cs="Arial"/>
                <w:color w:val="000000" w:themeColor="text1"/>
                <w:szCs w:val="16"/>
              </w:rPr>
            </w:pPr>
            <w:r w:rsidRPr="00781112">
              <w:rPr>
                <w:rFonts w:cs="Arial"/>
                <w:color w:val="000000" w:themeColor="text1"/>
                <w:szCs w:val="16"/>
              </w:rPr>
              <w:t>60.00%</w:t>
            </w:r>
          </w:p>
        </w:tc>
        <w:tc>
          <w:tcPr>
            <w:tcW w:w="833" w:type="pct"/>
            <w:tcBorders>
              <w:bottom w:val="single" w:sz="4" w:space="0" w:color="auto"/>
            </w:tcBorders>
            <w:shd w:val="clear" w:color="auto" w:fill="auto"/>
            <w:vAlign w:val="center"/>
          </w:tcPr>
          <w:p w14:paraId="7C21B645" w14:textId="348DEE4D" w:rsidR="008E31C4" w:rsidRPr="00781112" w:rsidRDefault="002B7490">
            <w:pPr>
              <w:jc w:val="center"/>
              <w:rPr>
                <w:rFonts w:cs="Arial"/>
                <w:color w:val="000000" w:themeColor="text1"/>
                <w:szCs w:val="16"/>
              </w:rPr>
            </w:pPr>
            <w:r w:rsidRPr="00781112">
              <w:rPr>
                <w:rFonts w:cs="Arial"/>
                <w:color w:val="000000" w:themeColor="text1"/>
                <w:szCs w:val="16"/>
              </w:rPr>
              <w:t>84.62%</w:t>
            </w:r>
          </w:p>
        </w:tc>
        <w:tc>
          <w:tcPr>
            <w:tcW w:w="792" w:type="pct"/>
            <w:tcBorders>
              <w:bottom w:val="single" w:sz="4" w:space="0" w:color="auto"/>
            </w:tcBorders>
            <w:shd w:val="clear" w:color="auto" w:fill="auto"/>
            <w:vAlign w:val="center"/>
          </w:tcPr>
          <w:p w14:paraId="345A5CC5" w14:textId="67CE713B" w:rsidR="008E31C4" w:rsidRPr="00781112" w:rsidRDefault="002B7490">
            <w:pPr>
              <w:jc w:val="center"/>
              <w:rPr>
                <w:rFonts w:cs="Arial"/>
                <w:color w:val="000000" w:themeColor="text1"/>
                <w:szCs w:val="16"/>
              </w:rPr>
            </w:pPr>
            <w:r w:rsidRPr="00781112">
              <w:rPr>
                <w:rFonts w:cs="Arial"/>
                <w:color w:val="000000" w:themeColor="text1"/>
                <w:szCs w:val="16"/>
              </w:rPr>
              <w:t>88.89%</w:t>
            </w:r>
          </w:p>
        </w:tc>
        <w:tc>
          <w:tcPr>
            <w:tcW w:w="875" w:type="pct"/>
            <w:tcBorders>
              <w:bottom w:val="single" w:sz="4" w:space="0" w:color="auto"/>
            </w:tcBorders>
            <w:shd w:val="clear" w:color="auto" w:fill="auto"/>
            <w:vAlign w:val="center"/>
          </w:tcPr>
          <w:p w14:paraId="09A5B408" w14:textId="4B0EB3D1" w:rsidR="008E31C4" w:rsidRPr="00781112" w:rsidRDefault="002B7490">
            <w:pPr>
              <w:jc w:val="center"/>
              <w:rPr>
                <w:rFonts w:cs="Arial"/>
                <w:color w:val="000000" w:themeColor="text1"/>
                <w:szCs w:val="16"/>
              </w:rPr>
            </w:pPr>
            <w:r w:rsidRPr="00781112">
              <w:rPr>
                <w:rFonts w:cs="Arial"/>
                <w:color w:val="000000" w:themeColor="text1"/>
                <w:szCs w:val="16"/>
              </w:rPr>
              <w:t>100.00%</w:t>
            </w:r>
          </w:p>
        </w:tc>
      </w:tr>
    </w:tbl>
    <w:p w14:paraId="2B5B5701" w14:textId="2BB5836C" w:rsidR="00DA3157" w:rsidRPr="00781112" w:rsidRDefault="00DA3157">
      <w:pPr>
        <w:rPr>
          <w:color w:val="000000" w:themeColor="text1"/>
        </w:rPr>
      </w:pPr>
    </w:p>
    <w:p w14:paraId="0F09B55F" w14:textId="55F1767C" w:rsidR="008E31C4" w:rsidRPr="00781112" w:rsidRDefault="008E31C4" w:rsidP="004369B2">
      <w:pPr>
        <w:rPr>
          <w:color w:val="000000" w:themeColor="text1"/>
        </w:rPr>
      </w:pPr>
      <w:r w:rsidRPr="00781112">
        <w:rPr>
          <w:b/>
          <w:color w:val="000000" w:themeColor="text1"/>
        </w:rPr>
        <w:t>Targets</w:t>
      </w:r>
    </w:p>
    <w:tbl>
      <w:tblPr>
        <w:tblW w:w="4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1"/>
      </w:tblPr>
      <w:tblGrid>
        <w:gridCol w:w="773"/>
        <w:gridCol w:w="1684"/>
        <w:gridCol w:w="1683"/>
        <w:gridCol w:w="1683"/>
        <w:gridCol w:w="1683"/>
        <w:gridCol w:w="1683"/>
      </w:tblGrid>
      <w:tr w:rsidR="006D0A52" w:rsidRPr="00781112" w14:paraId="7D6724D3" w14:textId="3FE2AE32" w:rsidTr="006D0A52">
        <w:trPr>
          <w:trHeight w:val="161"/>
        </w:trPr>
        <w:tc>
          <w:tcPr>
            <w:tcW w:w="420" w:type="pct"/>
            <w:tcBorders>
              <w:bottom w:val="single" w:sz="4" w:space="0" w:color="auto"/>
            </w:tcBorders>
            <w:shd w:val="clear" w:color="auto" w:fill="auto"/>
          </w:tcPr>
          <w:p w14:paraId="027FBB7B" w14:textId="77777777" w:rsidR="006D0A52" w:rsidRPr="00781112" w:rsidRDefault="006D0A52" w:rsidP="00C91F30">
            <w:pPr>
              <w:jc w:val="center"/>
              <w:rPr>
                <w:b/>
                <w:color w:val="000000" w:themeColor="text1"/>
              </w:rPr>
            </w:pPr>
            <w:r w:rsidRPr="00781112">
              <w:rPr>
                <w:b/>
                <w:color w:val="000000" w:themeColor="text1"/>
              </w:rPr>
              <w:t>FFY</w:t>
            </w:r>
          </w:p>
        </w:tc>
        <w:tc>
          <w:tcPr>
            <w:tcW w:w="916" w:type="pct"/>
            <w:shd w:val="clear" w:color="auto" w:fill="auto"/>
          </w:tcPr>
          <w:p w14:paraId="79481979" w14:textId="1C95D22E" w:rsidR="006D0A52" w:rsidRPr="00781112" w:rsidRDefault="006D0A52" w:rsidP="00C91F30">
            <w:pPr>
              <w:jc w:val="center"/>
              <w:rPr>
                <w:b/>
                <w:color w:val="000000" w:themeColor="text1"/>
              </w:rPr>
            </w:pPr>
            <w:r w:rsidRPr="00781112">
              <w:rPr>
                <w:b/>
                <w:color w:val="000000" w:themeColor="text1"/>
              </w:rPr>
              <w:t>2021</w:t>
            </w:r>
          </w:p>
        </w:tc>
        <w:tc>
          <w:tcPr>
            <w:tcW w:w="916" w:type="pct"/>
          </w:tcPr>
          <w:p w14:paraId="7641993D" w14:textId="318DCACC" w:rsidR="006D0A52" w:rsidRPr="00781112" w:rsidRDefault="006D0A52" w:rsidP="00C91F30">
            <w:pPr>
              <w:jc w:val="center"/>
              <w:rPr>
                <w:b/>
                <w:color w:val="000000" w:themeColor="text1"/>
              </w:rPr>
            </w:pPr>
            <w:r w:rsidRPr="00781112">
              <w:rPr>
                <w:rFonts w:cs="Arial"/>
                <w:b/>
                <w:color w:val="000000" w:themeColor="text1"/>
                <w:szCs w:val="16"/>
              </w:rPr>
              <w:t>2022</w:t>
            </w:r>
          </w:p>
        </w:tc>
        <w:tc>
          <w:tcPr>
            <w:tcW w:w="916" w:type="pct"/>
          </w:tcPr>
          <w:p w14:paraId="4DA0BAA3" w14:textId="27A9B6F2" w:rsidR="006D0A52" w:rsidRPr="00781112" w:rsidRDefault="006D0A52" w:rsidP="00C91F30">
            <w:pPr>
              <w:jc w:val="center"/>
              <w:rPr>
                <w:b/>
                <w:color w:val="000000" w:themeColor="text1"/>
              </w:rPr>
            </w:pPr>
            <w:r w:rsidRPr="00781112">
              <w:rPr>
                <w:rFonts w:cs="Arial"/>
                <w:b/>
                <w:color w:val="000000" w:themeColor="text1"/>
                <w:szCs w:val="16"/>
              </w:rPr>
              <w:t>2023</w:t>
            </w:r>
          </w:p>
        </w:tc>
        <w:tc>
          <w:tcPr>
            <w:tcW w:w="916" w:type="pct"/>
          </w:tcPr>
          <w:p w14:paraId="2A24D443" w14:textId="34DC3CA7" w:rsidR="006D0A52" w:rsidRPr="00781112" w:rsidRDefault="006D0A52" w:rsidP="00C91F30">
            <w:pPr>
              <w:jc w:val="center"/>
              <w:rPr>
                <w:b/>
                <w:color w:val="000000" w:themeColor="text1"/>
              </w:rPr>
            </w:pPr>
            <w:r w:rsidRPr="00781112">
              <w:rPr>
                <w:rFonts w:cs="Arial"/>
                <w:b/>
                <w:color w:val="000000" w:themeColor="text1"/>
                <w:szCs w:val="16"/>
              </w:rPr>
              <w:t>2024</w:t>
            </w:r>
          </w:p>
        </w:tc>
        <w:tc>
          <w:tcPr>
            <w:tcW w:w="916" w:type="pct"/>
          </w:tcPr>
          <w:p w14:paraId="61EFC808" w14:textId="000FAB3D" w:rsidR="006D0A52" w:rsidRPr="00781112" w:rsidRDefault="006D0A52" w:rsidP="00C91F30">
            <w:pPr>
              <w:jc w:val="center"/>
              <w:rPr>
                <w:b/>
                <w:color w:val="000000" w:themeColor="text1"/>
              </w:rPr>
            </w:pPr>
            <w:r w:rsidRPr="00781112">
              <w:rPr>
                <w:rFonts w:cs="Arial"/>
                <w:b/>
                <w:color w:val="000000" w:themeColor="text1"/>
                <w:szCs w:val="16"/>
              </w:rPr>
              <w:t>2025</w:t>
            </w:r>
          </w:p>
        </w:tc>
      </w:tr>
      <w:tr w:rsidR="006D0A52" w:rsidRPr="00781112" w14:paraId="3CA53C0F" w14:textId="2DEE5BE6" w:rsidTr="006D0A52">
        <w:trPr>
          <w:trHeight w:val="60"/>
        </w:trPr>
        <w:tc>
          <w:tcPr>
            <w:tcW w:w="420" w:type="pct"/>
            <w:shd w:val="clear" w:color="auto" w:fill="auto"/>
          </w:tcPr>
          <w:p w14:paraId="78FC9CAC" w14:textId="6980A1CA" w:rsidR="006D0A52" w:rsidRPr="00781112" w:rsidRDefault="006D0A52" w:rsidP="00C91F30">
            <w:pPr>
              <w:jc w:val="center"/>
              <w:rPr>
                <w:rFonts w:cs="Arial"/>
                <w:color w:val="000000" w:themeColor="text1"/>
                <w:szCs w:val="16"/>
              </w:rPr>
            </w:pPr>
            <w:r w:rsidRPr="00781112">
              <w:rPr>
                <w:rFonts w:cs="Arial"/>
                <w:color w:val="000000" w:themeColor="text1"/>
                <w:szCs w:val="16"/>
              </w:rPr>
              <w:t>Target &gt;=</w:t>
            </w:r>
          </w:p>
        </w:tc>
        <w:tc>
          <w:tcPr>
            <w:tcW w:w="916" w:type="pct"/>
            <w:shd w:val="clear" w:color="auto" w:fill="auto"/>
            <w:vAlign w:val="center"/>
          </w:tcPr>
          <w:p w14:paraId="0E137397" w14:textId="06CBC1FD" w:rsidR="006D0A52" w:rsidRPr="00781112" w:rsidRDefault="006D0A52" w:rsidP="00C91F30">
            <w:pPr>
              <w:jc w:val="center"/>
              <w:rPr>
                <w:rFonts w:cs="Arial"/>
                <w:color w:val="000000" w:themeColor="text1"/>
                <w:szCs w:val="16"/>
              </w:rPr>
            </w:pPr>
            <w:r w:rsidRPr="00781112">
              <w:rPr>
                <w:rFonts w:cs="Arial"/>
                <w:color w:val="000000" w:themeColor="text1"/>
                <w:szCs w:val="16"/>
              </w:rPr>
              <w:t>70.00%</w:t>
            </w:r>
          </w:p>
        </w:tc>
        <w:tc>
          <w:tcPr>
            <w:tcW w:w="916" w:type="pct"/>
          </w:tcPr>
          <w:p w14:paraId="2C484D83" w14:textId="77BCE060" w:rsidR="006D0A52" w:rsidRPr="00781112" w:rsidRDefault="006D0A52" w:rsidP="00C91F30">
            <w:pPr>
              <w:jc w:val="center"/>
              <w:rPr>
                <w:rFonts w:cs="Arial"/>
                <w:color w:val="000000" w:themeColor="text1"/>
                <w:szCs w:val="16"/>
              </w:rPr>
            </w:pPr>
            <w:r w:rsidRPr="00781112">
              <w:rPr>
                <w:color w:val="000000" w:themeColor="text1"/>
                <w:szCs w:val="16"/>
              </w:rPr>
              <w:t>70.00%</w:t>
            </w:r>
          </w:p>
        </w:tc>
        <w:tc>
          <w:tcPr>
            <w:tcW w:w="916" w:type="pct"/>
          </w:tcPr>
          <w:p w14:paraId="6CD274F3" w14:textId="076582AE" w:rsidR="006D0A52" w:rsidRPr="00781112" w:rsidRDefault="006D0A52" w:rsidP="00C91F30">
            <w:pPr>
              <w:jc w:val="center"/>
              <w:rPr>
                <w:rFonts w:cs="Arial"/>
                <w:color w:val="000000" w:themeColor="text1"/>
                <w:szCs w:val="16"/>
              </w:rPr>
            </w:pPr>
            <w:r w:rsidRPr="00781112">
              <w:rPr>
                <w:color w:val="000000" w:themeColor="text1"/>
                <w:szCs w:val="16"/>
              </w:rPr>
              <w:t>70.00%</w:t>
            </w:r>
          </w:p>
        </w:tc>
        <w:tc>
          <w:tcPr>
            <w:tcW w:w="916" w:type="pct"/>
          </w:tcPr>
          <w:p w14:paraId="60DD90BA" w14:textId="5816204A" w:rsidR="006D0A52" w:rsidRPr="00781112" w:rsidRDefault="006D0A52" w:rsidP="00C91F30">
            <w:pPr>
              <w:jc w:val="center"/>
              <w:rPr>
                <w:rFonts w:cs="Arial"/>
                <w:color w:val="000000" w:themeColor="text1"/>
                <w:szCs w:val="16"/>
              </w:rPr>
            </w:pPr>
            <w:r w:rsidRPr="00781112">
              <w:rPr>
                <w:color w:val="000000" w:themeColor="text1"/>
                <w:szCs w:val="16"/>
              </w:rPr>
              <w:t>70.00%</w:t>
            </w:r>
          </w:p>
        </w:tc>
        <w:tc>
          <w:tcPr>
            <w:tcW w:w="916" w:type="pct"/>
          </w:tcPr>
          <w:p w14:paraId="2F06128D" w14:textId="63E3880D" w:rsidR="006D0A52" w:rsidRPr="00781112" w:rsidRDefault="006D0A52" w:rsidP="00C91F30">
            <w:pPr>
              <w:jc w:val="center"/>
              <w:rPr>
                <w:rFonts w:cs="Arial"/>
                <w:color w:val="000000" w:themeColor="text1"/>
                <w:szCs w:val="16"/>
              </w:rPr>
            </w:pPr>
            <w:r w:rsidRPr="00781112">
              <w:rPr>
                <w:color w:val="000000" w:themeColor="text1"/>
                <w:szCs w:val="16"/>
              </w:rPr>
              <w:t>70.00%</w:t>
            </w:r>
          </w:p>
        </w:tc>
      </w:tr>
    </w:tbl>
    <w:p w14:paraId="3BC65958" w14:textId="77777777" w:rsidR="00DA3157" w:rsidRPr="00781112" w:rsidRDefault="00DA3157" w:rsidP="004369B2">
      <w:pPr>
        <w:rPr>
          <w:color w:val="000000" w:themeColor="text1"/>
        </w:rPr>
      </w:pPr>
    </w:p>
    <w:p w14:paraId="29FDEA16" w14:textId="333AA980" w:rsidR="008E31C4" w:rsidRPr="00781112" w:rsidRDefault="0047313F">
      <w:pPr>
        <w:rPr>
          <w:b/>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1"/>
      </w:tblPr>
      <w:tblGrid>
        <w:gridCol w:w="1438"/>
        <w:gridCol w:w="1437"/>
        <w:gridCol w:w="1405"/>
        <w:gridCol w:w="1107"/>
        <w:gridCol w:w="1640"/>
        <w:gridCol w:w="1290"/>
        <w:gridCol w:w="1256"/>
        <w:gridCol w:w="1217"/>
      </w:tblGrid>
      <w:tr w:rsidR="00B21923" w:rsidRPr="00781112" w14:paraId="30B18EC1" w14:textId="77777777" w:rsidTr="0033429D">
        <w:trPr>
          <w:trHeight w:val="354"/>
          <w:tblHeader/>
        </w:trPr>
        <w:tc>
          <w:tcPr>
            <w:tcW w:w="666" w:type="pct"/>
            <w:shd w:val="clear" w:color="auto" w:fill="auto"/>
          </w:tcPr>
          <w:p w14:paraId="2285C16D" w14:textId="593BA89E" w:rsidR="00B21923" w:rsidRPr="00781112" w:rsidRDefault="00B21923" w:rsidP="00B21923">
            <w:pPr>
              <w:jc w:val="center"/>
              <w:rPr>
                <w:rFonts w:cs="Arial"/>
                <w:b/>
                <w:color w:val="000000" w:themeColor="text1"/>
                <w:szCs w:val="16"/>
              </w:rPr>
            </w:pPr>
            <w:r w:rsidRPr="00781112">
              <w:rPr>
                <w:rFonts w:cs="Arial"/>
                <w:b/>
                <w:color w:val="000000" w:themeColor="text1"/>
                <w:szCs w:val="16"/>
              </w:rPr>
              <w:t>2.1.a.i Mediation agreements related to due process complaints</w:t>
            </w:r>
          </w:p>
        </w:tc>
        <w:tc>
          <w:tcPr>
            <w:tcW w:w="666" w:type="pct"/>
            <w:shd w:val="clear" w:color="auto" w:fill="auto"/>
            <w:vAlign w:val="bottom"/>
          </w:tcPr>
          <w:p w14:paraId="0D0A1148" w14:textId="5AB9157D" w:rsidR="00B21923" w:rsidRPr="00781112" w:rsidRDefault="00B21923" w:rsidP="00B21923">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shd w:val="clear" w:color="auto" w:fill="auto"/>
            <w:vAlign w:val="bottom"/>
          </w:tcPr>
          <w:p w14:paraId="5645AEFA" w14:textId="3277104A" w:rsidR="00B21923" w:rsidRPr="00781112" w:rsidRDefault="00B21923" w:rsidP="00B21923">
            <w:pPr>
              <w:jc w:val="center"/>
              <w:rPr>
                <w:rFonts w:cs="Arial"/>
                <w:b/>
                <w:color w:val="000000" w:themeColor="text1"/>
                <w:szCs w:val="16"/>
              </w:rPr>
            </w:pPr>
            <w:r w:rsidRPr="00781112">
              <w:rPr>
                <w:rFonts w:cs="Arial"/>
                <w:b/>
                <w:color w:val="000000" w:themeColor="text1"/>
                <w:szCs w:val="16"/>
              </w:rPr>
              <w:t>2.1 Number of mediations held</w:t>
            </w:r>
          </w:p>
        </w:tc>
        <w:tc>
          <w:tcPr>
            <w:tcW w:w="513" w:type="pct"/>
            <w:shd w:val="clear" w:color="auto" w:fill="auto"/>
            <w:vAlign w:val="bottom"/>
          </w:tcPr>
          <w:p w14:paraId="4A569306" w14:textId="6C8561F3" w:rsidR="00B21923" w:rsidRPr="006D0A52" w:rsidRDefault="00B21923" w:rsidP="00B21923">
            <w:pPr>
              <w:jc w:val="center"/>
              <w:rPr>
                <w:rFonts w:cs="Arial"/>
                <w:b/>
                <w:bCs/>
                <w:color w:val="000000" w:themeColor="text1"/>
                <w:szCs w:val="16"/>
              </w:rPr>
            </w:pPr>
            <w:r w:rsidRPr="006D0A52">
              <w:rPr>
                <w:b/>
                <w:bCs/>
              </w:rPr>
              <w:t>FFY 2020 Data</w:t>
            </w:r>
          </w:p>
        </w:tc>
        <w:tc>
          <w:tcPr>
            <w:tcW w:w="760" w:type="pct"/>
            <w:shd w:val="clear" w:color="auto" w:fill="auto"/>
            <w:vAlign w:val="bottom"/>
          </w:tcPr>
          <w:p w14:paraId="76531DBA" w14:textId="540B87EF" w:rsidR="00B21923" w:rsidRPr="006D0A52" w:rsidRDefault="00B21923" w:rsidP="00B21923">
            <w:pPr>
              <w:jc w:val="center"/>
              <w:rPr>
                <w:rFonts w:cs="Arial"/>
                <w:b/>
                <w:bCs/>
                <w:color w:val="000000" w:themeColor="text1"/>
                <w:szCs w:val="16"/>
              </w:rPr>
            </w:pPr>
            <w:r w:rsidRPr="006D0A52">
              <w:rPr>
                <w:b/>
                <w:bCs/>
              </w:rPr>
              <w:t>FFY 2021 Target</w:t>
            </w:r>
          </w:p>
        </w:tc>
        <w:tc>
          <w:tcPr>
            <w:tcW w:w="598" w:type="pct"/>
            <w:shd w:val="clear" w:color="auto" w:fill="auto"/>
            <w:vAlign w:val="bottom"/>
          </w:tcPr>
          <w:p w14:paraId="6DA84C86" w14:textId="596AC1F3" w:rsidR="00B21923" w:rsidRPr="006D0A52" w:rsidRDefault="00B21923" w:rsidP="00B21923">
            <w:pPr>
              <w:jc w:val="center"/>
              <w:rPr>
                <w:rFonts w:cs="Arial"/>
                <w:b/>
                <w:bCs/>
                <w:color w:val="000000" w:themeColor="text1"/>
                <w:szCs w:val="16"/>
              </w:rPr>
            </w:pPr>
            <w:r w:rsidRPr="006D0A52">
              <w:rPr>
                <w:b/>
                <w:bCs/>
              </w:rPr>
              <w:t>FFY 2021 Data</w:t>
            </w:r>
          </w:p>
        </w:tc>
        <w:tc>
          <w:tcPr>
            <w:tcW w:w="582" w:type="pct"/>
            <w:shd w:val="clear" w:color="auto" w:fill="auto"/>
            <w:vAlign w:val="bottom"/>
          </w:tcPr>
          <w:p w14:paraId="6C8C9681"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564" w:type="pct"/>
            <w:shd w:val="clear" w:color="auto" w:fill="auto"/>
            <w:vAlign w:val="bottom"/>
          </w:tcPr>
          <w:p w14:paraId="6876CD5E"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580CADA4" w14:textId="77777777" w:rsidTr="00326814">
        <w:trPr>
          <w:trHeight w:val="361"/>
        </w:trPr>
        <w:tc>
          <w:tcPr>
            <w:tcW w:w="666" w:type="pct"/>
            <w:shd w:val="clear" w:color="auto" w:fill="auto"/>
          </w:tcPr>
          <w:p w14:paraId="229DBD16" w14:textId="3985AF14" w:rsidR="00ED71A6"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666" w:type="pct"/>
            <w:shd w:val="clear" w:color="auto" w:fill="auto"/>
          </w:tcPr>
          <w:p w14:paraId="26BE4267" w14:textId="64153881" w:rsidR="00ED71A6" w:rsidRPr="00781112" w:rsidRDefault="002B7490" w:rsidP="004369B2">
            <w:pPr>
              <w:jc w:val="center"/>
              <w:rPr>
                <w:rFonts w:cs="Arial"/>
                <w:color w:val="000000" w:themeColor="text1"/>
                <w:szCs w:val="16"/>
              </w:rPr>
            </w:pPr>
            <w:r w:rsidRPr="00781112">
              <w:rPr>
                <w:rFonts w:cs="Arial"/>
                <w:color w:val="000000" w:themeColor="text1"/>
                <w:szCs w:val="16"/>
              </w:rPr>
              <w:t>8</w:t>
            </w:r>
          </w:p>
        </w:tc>
        <w:tc>
          <w:tcPr>
            <w:tcW w:w="651" w:type="pct"/>
            <w:shd w:val="clear" w:color="auto" w:fill="auto"/>
            <w:vAlign w:val="center"/>
          </w:tcPr>
          <w:p w14:paraId="6C063D69" w14:textId="6595E94B" w:rsidR="00ED71A6" w:rsidRPr="00781112" w:rsidRDefault="002B7490" w:rsidP="004369B2">
            <w:pPr>
              <w:jc w:val="center"/>
              <w:rPr>
                <w:rFonts w:cs="Arial"/>
                <w:color w:val="000000" w:themeColor="text1"/>
                <w:szCs w:val="16"/>
              </w:rPr>
            </w:pPr>
            <w:r w:rsidRPr="00781112">
              <w:rPr>
                <w:rFonts w:cs="Arial"/>
                <w:color w:val="000000" w:themeColor="text1"/>
                <w:szCs w:val="16"/>
              </w:rPr>
              <w:t>10</w:t>
            </w:r>
          </w:p>
        </w:tc>
        <w:tc>
          <w:tcPr>
            <w:tcW w:w="513" w:type="pct"/>
            <w:shd w:val="clear" w:color="auto" w:fill="auto"/>
          </w:tcPr>
          <w:p w14:paraId="466ED6BC" w14:textId="5349E9C8" w:rsidR="00ED71A6" w:rsidRPr="00781112" w:rsidRDefault="002B7490" w:rsidP="004369B2">
            <w:pPr>
              <w:jc w:val="center"/>
              <w:rPr>
                <w:rFonts w:cs="Arial"/>
                <w:color w:val="000000" w:themeColor="text1"/>
                <w:szCs w:val="16"/>
              </w:rPr>
            </w:pPr>
            <w:r w:rsidRPr="00781112">
              <w:rPr>
                <w:rFonts w:cs="Arial"/>
                <w:color w:val="000000" w:themeColor="text1"/>
                <w:szCs w:val="16"/>
              </w:rPr>
              <w:t>100.00%</w:t>
            </w:r>
          </w:p>
        </w:tc>
        <w:tc>
          <w:tcPr>
            <w:tcW w:w="760" w:type="pct"/>
            <w:shd w:val="clear" w:color="auto" w:fill="auto"/>
          </w:tcPr>
          <w:p w14:paraId="2530D239" w14:textId="21181E1F" w:rsidR="00ED71A6" w:rsidRPr="00781112" w:rsidRDefault="002B7490" w:rsidP="004369B2">
            <w:pPr>
              <w:jc w:val="center"/>
              <w:rPr>
                <w:rFonts w:cs="Arial"/>
                <w:color w:val="000000" w:themeColor="text1"/>
                <w:szCs w:val="16"/>
              </w:rPr>
            </w:pPr>
            <w:r w:rsidRPr="00781112">
              <w:rPr>
                <w:rFonts w:cs="Arial"/>
                <w:color w:val="000000" w:themeColor="text1"/>
                <w:szCs w:val="16"/>
              </w:rPr>
              <w:t>70.00%</w:t>
            </w:r>
          </w:p>
        </w:tc>
        <w:tc>
          <w:tcPr>
            <w:tcW w:w="598" w:type="pct"/>
            <w:shd w:val="clear" w:color="auto" w:fill="auto"/>
          </w:tcPr>
          <w:p w14:paraId="5CFDAC12" w14:textId="030BF46B" w:rsidR="00ED71A6" w:rsidRPr="00781112" w:rsidRDefault="002B7490" w:rsidP="004369B2">
            <w:pPr>
              <w:jc w:val="center"/>
              <w:rPr>
                <w:rFonts w:cs="Arial"/>
                <w:color w:val="000000" w:themeColor="text1"/>
                <w:szCs w:val="16"/>
              </w:rPr>
            </w:pPr>
            <w:r w:rsidRPr="00781112">
              <w:rPr>
                <w:rFonts w:cs="Arial"/>
                <w:color w:val="000000" w:themeColor="text1"/>
                <w:szCs w:val="16"/>
              </w:rPr>
              <w:t>80.00%</w:t>
            </w:r>
          </w:p>
        </w:tc>
        <w:tc>
          <w:tcPr>
            <w:tcW w:w="582" w:type="pct"/>
            <w:shd w:val="clear" w:color="auto" w:fill="auto"/>
          </w:tcPr>
          <w:p w14:paraId="0ABF26CD" w14:textId="7C384528" w:rsidR="00ED71A6" w:rsidRPr="00781112" w:rsidRDefault="002B7490" w:rsidP="004369B2">
            <w:pPr>
              <w:jc w:val="center"/>
              <w:rPr>
                <w:rFonts w:cs="Arial"/>
                <w:color w:val="000000" w:themeColor="text1"/>
                <w:szCs w:val="16"/>
              </w:rPr>
            </w:pPr>
            <w:r w:rsidRPr="00781112">
              <w:rPr>
                <w:rFonts w:cs="Arial"/>
                <w:color w:val="000000" w:themeColor="text1"/>
                <w:szCs w:val="16"/>
              </w:rPr>
              <w:t>Met target</w:t>
            </w:r>
          </w:p>
        </w:tc>
        <w:tc>
          <w:tcPr>
            <w:tcW w:w="564" w:type="pct"/>
            <w:shd w:val="clear" w:color="auto" w:fill="auto"/>
          </w:tcPr>
          <w:p w14:paraId="62404E67" w14:textId="522FE20B" w:rsidR="00ED71A6"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3422290" w14:textId="77777777" w:rsidR="00BB79DA" w:rsidRPr="00781112" w:rsidRDefault="00BB79DA">
      <w:pPr>
        <w:rPr>
          <w:color w:val="000000" w:themeColor="text1"/>
        </w:rPr>
      </w:pPr>
    </w:p>
    <w:p w14:paraId="7653BA1E"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609BD927" w14:textId="47FAE461" w:rsidR="00293C7E" w:rsidRPr="00781112" w:rsidRDefault="00293C7E" w:rsidP="007D435F">
      <w:pPr>
        <w:rPr>
          <w:rFonts w:cs="Arial"/>
          <w:color w:val="000000" w:themeColor="text1"/>
          <w:szCs w:val="16"/>
        </w:rPr>
      </w:pPr>
    </w:p>
    <w:p w14:paraId="01544738" w14:textId="0D3ECCB4" w:rsidR="00293C7E" w:rsidRPr="00781112" w:rsidRDefault="001C46DC" w:rsidP="00123D76">
      <w:pPr>
        <w:pStyle w:val="Heading2"/>
      </w:pPr>
      <w:r w:rsidRPr="00781112">
        <w:t>16</w:t>
      </w:r>
      <w:r w:rsidR="001D508D" w:rsidRPr="00781112">
        <w:t xml:space="preserve"> </w:t>
      </w:r>
      <w:r w:rsidRPr="00781112">
        <w:t xml:space="preserve">- </w:t>
      </w:r>
      <w:r w:rsidR="00293C7E" w:rsidRPr="00781112">
        <w:t>Prior FFY Required Actions</w:t>
      </w:r>
    </w:p>
    <w:p w14:paraId="7049B053" w14:textId="64040937" w:rsidR="009F69E7" w:rsidRPr="00781112" w:rsidRDefault="002B7490" w:rsidP="00293C7E">
      <w:pPr>
        <w:rPr>
          <w:rFonts w:cs="Arial"/>
          <w:color w:val="000000" w:themeColor="text1"/>
          <w:szCs w:val="16"/>
        </w:rPr>
      </w:pPr>
      <w:r w:rsidRPr="00781112">
        <w:rPr>
          <w:rFonts w:cs="Arial"/>
          <w:color w:val="000000" w:themeColor="text1"/>
          <w:szCs w:val="16"/>
        </w:rPr>
        <w:t>None</w:t>
      </w:r>
    </w:p>
    <w:p w14:paraId="169C5129" w14:textId="3D3FC1C0" w:rsidR="00913A33" w:rsidRPr="00781112" w:rsidRDefault="001C46DC" w:rsidP="00123D76">
      <w:pPr>
        <w:pStyle w:val="Heading2"/>
      </w:pPr>
      <w:r w:rsidRPr="00781112">
        <w:t>16 - OSEP Response</w:t>
      </w:r>
    </w:p>
    <w:p w14:paraId="5F7A0890" w14:textId="4F76A7D5" w:rsidR="00293C7E" w:rsidRPr="00781112" w:rsidRDefault="00293C7E" w:rsidP="001F692C">
      <w:pPr>
        <w:rPr>
          <w:rFonts w:cs="Arial"/>
          <w:color w:val="000000" w:themeColor="text1"/>
          <w:szCs w:val="16"/>
        </w:rPr>
      </w:pPr>
    </w:p>
    <w:p w14:paraId="55A8CDDB" w14:textId="51F8AA9B" w:rsidR="00913A33" w:rsidRPr="00781112" w:rsidRDefault="001C46DC" w:rsidP="00123D76">
      <w:pPr>
        <w:pStyle w:val="Heading2"/>
      </w:pPr>
      <w:r w:rsidRPr="00781112">
        <w:t>16 - Required Actions</w:t>
      </w:r>
    </w:p>
    <w:p w14:paraId="72813E4E" w14:textId="532E1944" w:rsidR="00293C7E" w:rsidRPr="00781112" w:rsidRDefault="00293C7E" w:rsidP="001F692C">
      <w:pPr>
        <w:rPr>
          <w:rFonts w:cs="Arial"/>
          <w:color w:val="000000" w:themeColor="text1"/>
          <w:szCs w:val="16"/>
        </w:rPr>
      </w:pPr>
    </w:p>
    <w:p w14:paraId="79966887" w14:textId="11440645" w:rsidR="00755AF7" w:rsidRPr="00781112" w:rsidRDefault="00755AF7">
      <w:pPr>
        <w:spacing w:before="0" w:after="200" w:line="276" w:lineRule="auto"/>
        <w:rPr>
          <w:rFonts w:cs="Arial"/>
          <w:color w:val="000000" w:themeColor="text1"/>
          <w:szCs w:val="16"/>
        </w:rPr>
      </w:pPr>
    </w:p>
    <w:p w14:paraId="40F6AE64" w14:textId="77777777" w:rsidR="00AE1972" w:rsidRPr="00781112" w:rsidRDefault="00AE1972">
      <w:pPr>
        <w:spacing w:before="0" w:after="200" w:line="276" w:lineRule="auto"/>
        <w:rPr>
          <w:color w:val="000000" w:themeColor="text1"/>
        </w:rPr>
      </w:pPr>
      <w:r w:rsidRPr="00781112">
        <w:rPr>
          <w:color w:val="000000" w:themeColor="text1"/>
        </w:rPr>
        <w:br w:type="page"/>
      </w:r>
    </w:p>
    <w:p w14:paraId="528D0D37" w14:textId="5C401108" w:rsidR="00AE1972" w:rsidRPr="00781112" w:rsidRDefault="00AE1972" w:rsidP="00AE1972">
      <w:pPr>
        <w:pStyle w:val="Heading1"/>
        <w:rPr>
          <w:color w:val="000000" w:themeColor="text1"/>
        </w:rPr>
      </w:pPr>
      <w:r w:rsidRPr="00781112">
        <w:rPr>
          <w:color w:val="000000" w:themeColor="text1"/>
        </w:rPr>
        <w:t>Indicator 17: State Systemic Improvement Plan</w:t>
      </w:r>
    </w:p>
    <w:p w14:paraId="0840DD7C" w14:textId="77777777" w:rsidR="00AE1972" w:rsidRPr="00781112" w:rsidRDefault="00AE1972" w:rsidP="00AE1972">
      <w:pPr>
        <w:rPr>
          <w:color w:val="000000" w:themeColor="text1"/>
          <w:szCs w:val="20"/>
        </w:rPr>
      </w:pPr>
      <w:r w:rsidRPr="00781112">
        <w:rPr>
          <w:b/>
          <w:color w:val="000000" w:themeColor="text1"/>
          <w:sz w:val="20"/>
          <w:szCs w:val="20"/>
        </w:rPr>
        <w:t>Instructions and Measurement</w:t>
      </w:r>
    </w:p>
    <w:p w14:paraId="3B7DA41B"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5E0D7347" w14:textId="77777777" w:rsidR="00AE1972" w:rsidRPr="00781112" w:rsidRDefault="00AE1972" w:rsidP="00AE1972">
      <w:pPr>
        <w:rPr>
          <w:b/>
          <w:color w:val="000000" w:themeColor="text1"/>
          <w:szCs w:val="16"/>
        </w:rPr>
      </w:pPr>
      <w:r w:rsidRPr="00781112">
        <w:rPr>
          <w:color w:val="000000" w:themeColor="text1"/>
          <w:szCs w:val="16"/>
        </w:rPr>
        <w:t>The State’s SPP/APR includes a State Systemic Improvement Plan (SSIP) that meets the requirements set forth for this indicator.</w:t>
      </w:r>
    </w:p>
    <w:p w14:paraId="450C51F8" w14:textId="77777777" w:rsidR="00AE1972" w:rsidRPr="00781112" w:rsidRDefault="00AE1972" w:rsidP="00AE1972">
      <w:pPr>
        <w:rPr>
          <w:b/>
          <w:color w:val="000000" w:themeColor="text1"/>
        </w:rPr>
      </w:pPr>
      <w:r w:rsidRPr="00781112">
        <w:rPr>
          <w:b/>
          <w:color w:val="000000" w:themeColor="text1"/>
        </w:rPr>
        <w:t>Measurement</w:t>
      </w:r>
    </w:p>
    <w:p w14:paraId="04B17582" w14:textId="6FB0482A"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26F5AA9C" w14:textId="77777777" w:rsidR="00AE1972" w:rsidRPr="00781112" w:rsidRDefault="00AE1972" w:rsidP="00AE1972">
      <w:pPr>
        <w:rPr>
          <w:b/>
          <w:color w:val="000000" w:themeColor="text1"/>
        </w:rPr>
      </w:pPr>
      <w:r w:rsidRPr="00781112">
        <w:rPr>
          <w:b/>
          <w:color w:val="000000" w:themeColor="text1"/>
        </w:rPr>
        <w:t>Instructions</w:t>
      </w:r>
    </w:p>
    <w:p w14:paraId="399EE6DB" w14:textId="1CFF166B"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percentage and which is aligned with the State-identified Measurable Result(s) for </w:t>
      </w:r>
      <w:r w:rsidR="00B00A11" w:rsidRPr="00781112">
        <w:rPr>
          <w:rFonts w:cs="Arial"/>
          <w:szCs w:val="16"/>
        </w:rPr>
        <w:t>Children with Disabilities.</w:t>
      </w:r>
    </w:p>
    <w:p w14:paraId="200B44A4" w14:textId="1EC5E359"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 xml:space="preserve">In its </w:t>
      </w:r>
      <w:r w:rsidR="0047313F">
        <w:rPr>
          <w:rFonts w:cs="Arial"/>
          <w:szCs w:val="16"/>
        </w:rPr>
        <w:t xml:space="preserve">FFY 2021 SPP/APR, due </w:t>
      </w:r>
      <w:r w:rsidR="00AD1B29">
        <w:rPr>
          <w:rFonts w:cs="Arial"/>
          <w:szCs w:val="16"/>
        </w:rPr>
        <w:t>February 1, 2023</w:t>
      </w:r>
      <w:r w:rsidR="00E101A7" w:rsidRPr="00781112">
        <w:rPr>
          <w:rFonts w:cs="Arial"/>
          <w:szCs w:val="16"/>
        </w:rPr>
        <w:t xml:space="preserve">, the State must provide measurable and rigorous targets (expressed as percentages) for each of the six years from FFY </w:t>
      </w:r>
      <w:r w:rsidR="00B21923" w:rsidRPr="00781112">
        <w:rPr>
          <w:rFonts w:cs="Arial"/>
          <w:szCs w:val="16"/>
        </w:rPr>
        <w:t>202</w:t>
      </w:r>
      <w:r w:rsidR="00B21923">
        <w:rPr>
          <w:rFonts w:cs="Arial"/>
          <w:szCs w:val="16"/>
        </w:rPr>
        <w:t>1</w:t>
      </w:r>
      <w:r w:rsidR="00B21923" w:rsidRPr="00781112">
        <w:rPr>
          <w:rFonts w:cs="Arial"/>
          <w:szCs w:val="16"/>
        </w:rPr>
        <w:t xml:space="preserve"> </w:t>
      </w:r>
      <w:r w:rsidR="00E101A7" w:rsidRPr="00781112">
        <w:rPr>
          <w:rFonts w:cs="Arial"/>
          <w:szCs w:val="16"/>
        </w:rPr>
        <w:t>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r w:rsidR="00404B50">
        <w:rPr>
          <w:rFonts w:cs="Arial"/>
          <w:szCs w:val="16"/>
        </w:rPr>
        <w:t xml:space="preserve"> </w:t>
      </w:r>
    </w:p>
    <w:p w14:paraId="6B54FC53" w14:textId="00B83E5E"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w:t>
      </w:r>
      <w:r w:rsidR="00B21923" w:rsidRPr="00781112">
        <w:rPr>
          <w:rFonts w:cs="Arial"/>
          <w:szCs w:val="16"/>
        </w:rPr>
        <w:t>202</w:t>
      </w:r>
      <w:r w:rsidR="00B21923">
        <w:rPr>
          <w:rFonts w:cs="Arial"/>
          <w:szCs w:val="16"/>
        </w:rPr>
        <w:t>1</w:t>
      </w:r>
      <w:r w:rsidR="00B21923" w:rsidRPr="00781112">
        <w:rPr>
          <w:rFonts w:cs="Arial"/>
          <w:szCs w:val="16"/>
        </w:rPr>
        <w:t xml:space="preserve"> </w:t>
      </w:r>
      <w:r w:rsidR="00B00A11" w:rsidRPr="00781112">
        <w:rPr>
          <w:rFonts w:cs="Arial"/>
          <w:szCs w:val="16"/>
        </w:rPr>
        <w:t xml:space="preserve">through FFY 2025 SPPs/APRs, due </w:t>
      </w:r>
      <w:r w:rsidR="00AD1B29">
        <w:rPr>
          <w:rFonts w:cs="Arial"/>
          <w:szCs w:val="16"/>
        </w:rPr>
        <w:t>February 1, 2023</w:t>
      </w:r>
      <w:r w:rsidR="00B00A11" w:rsidRPr="00781112">
        <w:rPr>
          <w:rFonts w:cs="Arial"/>
          <w:szCs w:val="16"/>
        </w:rPr>
        <w:t xml:space="preserve">, the State must provide updated data for that specific FFY (expressed as percentages) and that data must be aligned with the State-identified Measurable Result(s) for Children with Disabilities. In its FFYs </w:t>
      </w:r>
      <w:r w:rsidR="00B21923" w:rsidRPr="00781112">
        <w:rPr>
          <w:rFonts w:cs="Arial"/>
          <w:szCs w:val="16"/>
        </w:rPr>
        <w:t>202</w:t>
      </w:r>
      <w:r w:rsidR="00B21923">
        <w:rPr>
          <w:rFonts w:cs="Arial"/>
          <w:szCs w:val="16"/>
        </w:rPr>
        <w:t>1</w:t>
      </w:r>
      <w:r w:rsidR="00B21923" w:rsidRPr="00781112">
        <w:rPr>
          <w:rFonts w:cs="Arial"/>
          <w:szCs w:val="16"/>
        </w:rPr>
        <w:t xml:space="preserve"> </w:t>
      </w:r>
      <w:r w:rsidR="00B00A11" w:rsidRPr="00781112">
        <w:rPr>
          <w:rFonts w:cs="Arial"/>
          <w:szCs w:val="16"/>
        </w:rPr>
        <w:t>through FFY 2025 SPPs/APRs, the State must report on whether it met its target.</w:t>
      </w:r>
    </w:p>
    <w:p w14:paraId="3660F78F" w14:textId="77777777" w:rsidR="00AE1972" w:rsidRPr="00781112" w:rsidRDefault="00AE1972" w:rsidP="00AE1972">
      <w:pPr>
        <w:pStyle w:val="Subhed"/>
      </w:pPr>
      <w:r w:rsidRPr="00781112">
        <w:t>Overview of the Three Phases of the SSIP</w:t>
      </w:r>
    </w:p>
    <w:p w14:paraId="41060915" w14:textId="1038334F"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1F974632" w14:textId="656B04EE" w:rsidR="00AE1972" w:rsidRPr="00781112" w:rsidRDefault="00AE1972" w:rsidP="00AE1972">
      <w:pPr>
        <w:pStyle w:val="Subhed"/>
        <w:rPr>
          <w:b w:val="0"/>
        </w:rPr>
      </w:pPr>
      <w:r w:rsidRPr="00781112">
        <w:rPr>
          <w:i/>
        </w:rPr>
        <w:t>Phase I: Analysis:</w:t>
      </w:r>
      <w:r w:rsidRPr="00781112">
        <w:rPr>
          <w:b w:val="0"/>
        </w:rPr>
        <w:t xml:space="preserve"> </w:t>
      </w:r>
    </w:p>
    <w:p w14:paraId="096C9E4B" w14:textId="77777777" w:rsidR="00AE1972" w:rsidRPr="00781112" w:rsidRDefault="00AE1972" w:rsidP="00AE1972">
      <w:pPr>
        <w:ind w:left="360"/>
      </w:pPr>
      <w:r w:rsidRPr="00781112">
        <w:t>- Data Analysis;</w:t>
      </w:r>
    </w:p>
    <w:p w14:paraId="27016A94" w14:textId="77777777" w:rsidR="00AE1972" w:rsidRPr="00781112" w:rsidRDefault="00AE1972" w:rsidP="00AE1972">
      <w:pPr>
        <w:ind w:left="360"/>
      </w:pPr>
      <w:r w:rsidRPr="00781112">
        <w:t>- Analysis of State Infrastructure to Support Improvement and Build Capacity;</w:t>
      </w:r>
    </w:p>
    <w:p w14:paraId="7C62869B" w14:textId="77122CAD" w:rsidR="00AE1972" w:rsidRPr="00781112" w:rsidRDefault="00AE1972" w:rsidP="00AE1972">
      <w:pPr>
        <w:ind w:left="360"/>
      </w:pPr>
      <w:r w:rsidRPr="00781112">
        <w:t xml:space="preserve">- State-identified Measurable Result(s) for </w:t>
      </w:r>
      <w:r w:rsidR="00B00A11" w:rsidRPr="00781112">
        <w:rPr>
          <w:rFonts w:cs="Arial"/>
          <w:szCs w:val="16"/>
        </w:rPr>
        <w:t>Children with Disabilities</w:t>
      </w:r>
      <w:r w:rsidRPr="00781112">
        <w:t>;</w:t>
      </w:r>
    </w:p>
    <w:p w14:paraId="6AD2D627" w14:textId="77777777" w:rsidR="00AE1972" w:rsidRPr="00781112" w:rsidRDefault="00AE1972" w:rsidP="00AE1972">
      <w:pPr>
        <w:ind w:left="360"/>
      </w:pPr>
      <w:r w:rsidRPr="00781112">
        <w:t>- Selection of Coherent Improvement Strategies; and</w:t>
      </w:r>
    </w:p>
    <w:p w14:paraId="356E7B19" w14:textId="77777777" w:rsidR="00AE1972" w:rsidRPr="00781112" w:rsidRDefault="00AE1972" w:rsidP="00AE1972">
      <w:pPr>
        <w:ind w:left="360"/>
      </w:pPr>
      <w:r w:rsidRPr="00781112">
        <w:t>- Theory of Action.</w:t>
      </w:r>
    </w:p>
    <w:p w14:paraId="6A753B55" w14:textId="47758674" w:rsidR="00AE1972" w:rsidRPr="00781112" w:rsidRDefault="00AE1972" w:rsidP="00AE1972">
      <w:pPr>
        <w:pStyle w:val="Subhed"/>
        <w:rPr>
          <w:b w:val="0"/>
        </w:rPr>
      </w:pPr>
      <w:r w:rsidRPr="00781112">
        <w:rPr>
          <w:i/>
        </w:rPr>
        <w:t>Phase II: Plan</w:t>
      </w:r>
      <w:r w:rsidRPr="00781112">
        <w:rPr>
          <w:b w:val="0"/>
        </w:rPr>
        <w:t xml:space="preserve"> (which, </w:t>
      </w:r>
      <w:r w:rsidR="00D14A1B" w:rsidRPr="00781112">
        <w:rPr>
          <w:b w:val="0"/>
        </w:rPr>
        <w:t xml:space="preserve">is </w:t>
      </w:r>
      <w:r w:rsidRPr="00781112">
        <w:rPr>
          <w:b w:val="0"/>
        </w:rPr>
        <w:t>in addition to the Phase I content (including any updates) outlined above:</w:t>
      </w:r>
    </w:p>
    <w:p w14:paraId="0A22BE99" w14:textId="77777777" w:rsidR="006B5750" w:rsidRDefault="00756B33" w:rsidP="008877E3">
      <w:pPr>
        <w:ind w:left="360"/>
      </w:pPr>
      <w:r w:rsidRPr="00781112">
        <w:t xml:space="preserve">- </w:t>
      </w:r>
      <w:r w:rsidR="00AE1972" w:rsidRPr="00781112">
        <w:t>Infrastructure Development;</w:t>
      </w:r>
    </w:p>
    <w:p w14:paraId="66997D61" w14:textId="59DC7764"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38176125" w14:textId="4276E770" w:rsidR="00AE1972" w:rsidRPr="00781112" w:rsidRDefault="00756B33" w:rsidP="008877E3">
      <w:pPr>
        <w:ind w:left="360"/>
      </w:pPr>
      <w:r w:rsidRPr="00781112">
        <w:t xml:space="preserve">- </w:t>
      </w:r>
      <w:r w:rsidR="00AE1972" w:rsidRPr="00781112">
        <w:t>Evaluation.</w:t>
      </w:r>
    </w:p>
    <w:p w14:paraId="73F6A460" w14:textId="05523F5F" w:rsidR="00AE1972" w:rsidRPr="00781112" w:rsidRDefault="00AE1972" w:rsidP="00AE1972">
      <w:pPr>
        <w:pStyle w:val="Subhed"/>
        <w:rPr>
          <w:b w:val="0"/>
        </w:rPr>
      </w:pPr>
      <w:r w:rsidRPr="00781112">
        <w:rPr>
          <w:i/>
        </w:rPr>
        <w:t>Phase III: Implementation and Evaluation</w:t>
      </w:r>
      <w:r w:rsidRPr="00781112">
        <w:rPr>
          <w:b w:val="0"/>
        </w:rPr>
        <w:t xml:space="preserve"> (which, </w:t>
      </w:r>
      <w:r w:rsidR="00D14A1B" w:rsidRPr="00781112">
        <w:rPr>
          <w:b w:val="0"/>
        </w:rPr>
        <w:t xml:space="preserve">is </w:t>
      </w:r>
      <w:r w:rsidRPr="00781112">
        <w:rPr>
          <w:b w:val="0"/>
        </w:rPr>
        <w:t>in addition to the Phase I and Phase II content (including any updates) outlined above:</w:t>
      </w:r>
    </w:p>
    <w:p w14:paraId="580CF235" w14:textId="77777777" w:rsidR="00AE1972" w:rsidRPr="00781112" w:rsidRDefault="00AE1972" w:rsidP="00AE1972">
      <w:pPr>
        <w:ind w:left="360"/>
      </w:pPr>
      <w:r w:rsidRPr="00781112">
        <w:t>- Results of Ongoing Evaluation and Revisions to the SSIP.</w:t>
      </w:r>
    </w:p>
    <w:p w14:paraId="03B4B47F" w14:textId="77777777" w:rsidR="00AE1972" w:rsidRPr="00781112" w:rsidRDefault="00AE1972" w:rsidP="00AE1972">
      <w:pPr>
        <w:rPr>
          <w:b/>
        </w:rPr>
      </w:pPr>
      <w:r w:rsidRPr="00781112">
        <w:rPr>
          <w:b/>
        </w:rPr>
        <w:t>Specific Content of Each Phase of the SSIP</w:t>
      </w:r>
    </w:p>
    <w:p w14:paraId="467D2C6D" w14:textId="3F55CFEA" w:rsidR="00AE1972" w:rsidRPr="00781112" w:rsidRDefault="00AE1972" w:rsidP="00AE1972">
      <w:r w:rsidRPr="00781112">
        <w:t>Refer to FFY 2013-2015 Measurement Table for detailed requirements of Phase I and Phase II SSIP submissions.</w:t>
      </w:r>
    </w:p>
    <w:p w14:paraId="4B1E2598"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5E950372" w14:textId="77777777" w:rsidR="00AE1972" w:rsidRPr="00781112" w:rsidRDefault="00AE1972" w:rsidP="00AE1972">
      <w:pPr>
        <w:rPr>
          <w:b/>
          <w:i/>
        </w:rPr>
      </w:pPr>
      <w:r w:rsidRPr="00781112">
        <w:rPr>
          <w:b/>
          <w:i/>
        </w:rPr>
        <w:t>Phase III: Implementation and Evaluation</w:t>
      </w:r>
    </w:p>
    <w:p w14:paraId="2ACE13F7"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6BC324F8" w14:textId="77777777" w:rsidR="00AE1972" w:rsidRPr="00781112" w:rsidRDefault="00AE1972" w:rsidP="00AE1972">
      <w:pPr>
        <w:tabs>
          <w:tab w:val="left" w:pos="270"/>
          <w:tab w:val="left" w:pos="630"/>
        </w:tabs>
      </w:pPr>
      <w:r w:rsidRPr="00781112">
        <w:t xml:space="preserve">A. </w:t>
      </w:r>
      <w:r w:rsidRPr="00781112">
        <w:tab/>
        <w:t>Data Analysis</w:t>
      </w:r>
    </w:p>
    <w:p w14:paraId="7509FEFA" w14:textId="148D91BE" w:rsidR="000063AC" w:rsidRPr="00781112" w:rsidRDefault="000063AC" w:rsidP="000063AC">
      <w:pPr>
        <w:rPr>
          <w:rFonts w:cs="Arial"/>
          <w:szCs w:val="16"/>
        </w:rPr>
      </w:pPr>
      <w:r w:rsidRPr="00781112">
        <w:rPr>
          <w:rFonts w:cs="Arial"/>
          <w:szCs w:val="16"/>
        </w:rPr>
        <w:t>As required in the Instructions for the Indicator/Measurement, in its FFYs 2021 through 2025 SPP/APR,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14:paraId="77280910" w14:textId="77777777" w:rsidR="00AE1972" w:rsidRPr="00781112" w:rsidRDefault="00AE1972" w:rsidP="00AE1972">
      <w:pPr>
        <w:tabs>
          <w:tab w:val="left" w:pos="360"/>
        </w:tabs>
      </w:pPr>
      <w:r w:rsidRPr="00781112">
        <w:t xml:space="preserve">B. </w:t>
      </w:r>
      <w:r w:rsidRPr="00781112">
        <w:tab/>
        <w:t>Phase III Implementation, Analysis and Evaluation</w:t>
      </w:r>
    </w:p>
    <w:p w14:paraId="55F09A01" w14:textId="161CEC9C" w:rsidR="00AE1972" w:rsidRPr="00781112" w:rsidRDefault="00AE1972" w:rsidP="00AE1972">
      <w:r w:rsidRPr="00781112">
        <w:t xml:space="preserve">The State must provide a narrative or graphic representation, e.g., a logic model, of the principal activities, measures and outcomes that were implemented since the State’s last SSIP submission (i.e., </w:t>
      </w:r>
      <w:r w:rsidR="00F302A0" w:rsidRPr="00781112">
        <w:t>Feb</w:t>
      </w:r>
      <w:r w:rsidRPr="00781112">
        <w:t xml:space="preserve"> </w:t>
      </w:r>
      <w:r w:rsidR="00B21923" w:rsidRPr="00781112">
        <w:t>202</w:t>
      </w:r>
      <w:r w:rsidR="00B21923">
        <w:t>2</w:t>
      </w:r>
      <w:r w:rsidRPr="00781112">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0A51077C" w14:textId="1DB24C7F" w:rsidR="00AE1972" w:rsidRPr="00781112" w:rsidRDefault="00AE1972" w:rsidP="00AE1972">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w:t>
      </w:r>
      <w:r w:rsidR="00B21923">
        <w:rPr>
          <w:rFonts w:cs="Arial"/>
          <w:szCs w:val="16"/>
        </w:rPr>
        <w:t>for the FFY 2021 APR, report on anticipated outcomes to be obtained during FFY 2022, i.e., July 1, 2022-June 30, 2023for the FFY 2021 APR, report on anticipated outcomes to be obtained during FFY 2022, i.e., July 1, 2022-June 30, 2023</w:t>
      </w:r>
      <w:r w:rsidR="00B21923" w:rsidRPr="00651E83">
        <w:rPr>
          <w:rFonts w:cs="Arial"/>
          <w:szCs w:val="16"/>
        </w:rPr>
        <w:t>).</w:t>
      </w:r>
      <w:r w:rsidRPr="00781112">
        <w:t>).</w:t>
      </w:r>
    </w:p>
    <w:p w14:paraId="6198E1D5" w14:textId="77777777" w:rsidR="00AE1972" w:rsidRPr="00781112" w:rsidRDefault="00AE1972" w:rsidP="00AE1972">
      <w:r w:rsidRPr="00781112">
        <w:t>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(i.e., behaviors), parent/caregiver outcomes, and/or child outcomes. Describe any additional data (i.e., progress monitoring data) that was collected to support the on-going use of the evidence-based practices and inform decision-making for the next year of SSIP implementation.</w:t>
      </w:r>
    </w:p>
    <w:p w14:paraId="411C94A7" w14:textId="77777777" w:rsidR="00AE1972" w:rsidRPr="00781112" w:rsidRDefault="00AE1972" w:rsidP="00AE1972">
      <w:pPr>
        <w:tabs>
          <w:tab w:val="left" w:pos="270"/>
        </w:tabs>
      </w:pPr>
      <w:r w:rsidRPr="00781112">
        <w:t xml:space="preserve">C. </w:t>
      </w:r>
      <w:r w:rsidRPr="00781112">
        <w:tab/>
        <w:t>Stakeholder Engagement</w:t>
      </w:r>
    </w:p>
    <w:p w14:paraId="007F9035"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38CBE3F2" w14:textId="77777777" w:rsidR="00AE1972" w:rsidRPr="00781112" w:rsidRDefault="00AE1972" w:rsidP="00AE1972">
      <w:r w:rsidRPr="00781112">
        <w:t>Additional Implementation Activities</w:t>
      </w:r>
    </w:p>
    <w:p w14:paraId="00F49894" w14:textId="5C2D5ECE" w:rsidR="00AE1972" w:rsidRPr="00781112" w:rsidRDefault="00AE1972" w:rsidP="00AE1972">
      <w:r w:rsidRPr="00781112">
        <w:t xml:space="preserve">The State should identify any activities not already described that it intends to implement in the next fiscal year (e.g., </w:t>
      </w:r>
      <w:r w:rsidR="00B21923">
        <w:rPr>
          <w:rFonts w:cs="Arial"/>
          <w:szCs w:val="16"/>
        </w:rPr>
        <w:t>for the FFY 2021 APR, report on activities it intends to implement in FFY 2022, i.e., July 1, 2022-June 30, 2023for the FFY 2021 APR, report on activities it intends to implement in FFY 2022, i.e., July 1, 2022-June 30, 2023</w:t>
      </w:r>
      <w:r w:rsidR="00B21923" w:rsidRPr="00651E83">
        <w:rPr>
          <w:rFonts w:cs="Arial"/>
          <w:szCs w:val="16"/>
        </w:rPr>
        <w:t>)</w:t>
      </w:r>
      <w:r w:rsidRPr="00781112">
        <w:t>) including a timeline, anticipated data collection and measures, and expected outcomes that are related to the SiMR. The State should describe any newly identified barriers and include steps to address these barriers.</w:t>
      </w:r>
    </w:p>
    <w:p w14:paraId="428E26A7" w14:textId="6193C9E6" w:rsidR="00AE1972" w:rsidRPr="00781112" w:rsidRDefault="00AE1972" w:rsidP="00AE1972">
      <w:pPr>
        <w:pStyle w:val="Heading2"/>
      </w:pPr>
      <w:r w:rsidRPr="00781112">
        <w:t>1</w:t>
      </w:r>
      <w:r w:rsidR="00B90835" w:rsidRPr="00781112">
        <w:t>7</w:t>
      </w:r>
      <w:r w:rsidRPr="00781112">
        <w:t xml:space="preserve"> - Indicator Data</w:t>
      </w:r>
    </w:p>
    <w:p w14:paraId="626DBA0C" w14:textId="77777777" w:rsidR="00AE1972" w:rsidRPr="00781112" w:rsidRDefault="00AE1972" w:rsidP="00AE1972">
      <w:pPr>
        <w:rPr>
          <w:b/>
          <w:bCs/>
        </w:rPr>
      </w:pPr>
      <w:r w:rsidRPr="00781112">
        <w:rPr>
          <w:b/>
          <w:bCs/>
        </w:rPr>
        <w:t>Section A: Data Analysis</w:t>
      </w:r>
    </w:p>
    <w:p w14:paraId="26873A73" w14:textId="77777777" w:rsidR="00AE1972" w:rsidRPr="00781112" w:rsidRDefault="00AE1972" w:rsidP="00AE1972">
      <w:pPr>
        <w:rPr>
          <w:b/>
          <w:bCs/>
        </w:rPr>
      </w:pPr>
      <w:r w:rsidRPr="00781112">
        <w:rPr>
          <w:b/>
          <w:bCs/>
        </w:rPr>
        <w:t>What is the State-identified Measurable Result (SiMR)?</w:t>
      </w:r>
    </w:p>
    <w:p w14:paraId="2CDA0A52" w14:textId="1253220E" w:rsidR="00AE1972" w:rsidRPr="00781112" w:rsidRDefault="00AE1972" w:rsidP="00AE1972">
      <w:pPr>
        <w:rPr>
          <w:color w:val="000000" w:themeColor="text1"/>
        </w:rPr>
      </w:pPr>
      <w:r w:rsidRPr="00781112">
        <w:rPr>
          <w:color w:val="000000" w:themeColor="text1"/>
        </w:rPr>
        <w:t>By FFY 2025, Oklahoma will see improved early literacy skills for K-3 students in targeted low-performing schools as identified by the state’s ESSA plan.</w:t>
      </w:r>
    </w:p>
    <w:p w14:paraId="43CABCA3" w14:textId="77777777" w:rsidR="00AE1972" w:rsidRPr="00781112" w:rsidRDefault="00AE1972" w:rsidP="00AE1972">
      <w:pPr>
        <w:rPr>
          <w:b/>
          <w:bCs/>
        </w:rPr>
      </w:pPr>
      <w:bookmarkStart w:id="91" w:name="_Hlk85195358"/>
      <w:r w:rsidRPr="00781112">
        <w:rPr>
          <w:b/>
          <w:bCs/>
        </w:rPr>
        <w:t>Has the SiMR changed since the last SSIP submission? (yes/no)</w:t>
      </w:r>
    </w:p>
    <w:p w14:paraId="53B392AE" w14:textId="5D60E4A2" w:rsidR="00AE1972" w:rsidRDefault="00AE1972" w:rsidP="00AE1972">
      <w:r w:rsidRPr="00781112">
        <w:t>NO</w:t>
      </w:r>
    </w:p>
    <w:bookmarkEnd w:id="91"/>
    <w:p w14:paraId="1B1A90F5" w14:textId="77777777" w:rsidR="00935B96" w:rsidRPr="00781112" w:rsidRDefault="00935B96" w:rsidP="00AE1972"/>
    <w:p w14:paraId="4DB5CA5B"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5220F24E" w14:textId="45A17085" w:rsidR="00AE1972" w:rsidRDefault="00AE1972" w:rsidP="00AE1972">
      <w:r w:rsidRPr="00781112">
        <w:rPr>
          <w:color w:val="000000" w:themeColor="text1"/>
        </w:rPr>
        <w:t>YES</w:t>
      </w:r>
    </w:p>
    <w:p w14:paraId="54FC6DBB" w14:textId="3D1C5D57" w:rsidR="00AE1972" w:rsidRPr="00781112" w:rsidRDefault="00ED5509" w:rsidP="00AE1972">
      <w:pPr>
        <w:rPr>
          <w:b/>
          <w:bCs/>
        </w:rPr>
      </w:pPr>
      <w:r w:rsidRPr="00781112">
        <w:rPr>
          <w:b/>
          <w:bCs/>
        </w:rPr>
        <w:t>Provide a description of the subset of the population from the indicator.</w:t>
      </w:r>
    </w:p>
    <w:p w14:paraId="730A7F24" w14:textId="5026F767" w:rsidR="00AE1972" w:rsidRDefault="00AE1972" w:rsidP="00AE1972">
      <w:pPr>
        <w:rPr>
          <w:color w:val="000000" w:themeColor="text1"/>
        </w:rPr>
      </w:pPr>
      <w:r w:rsidRPr="00781112">
        <w:rPr>
          <w:color w:val="000000" w:themeColor="text1"/>
        </w:rPr>
        <w:t xml:space="preserve">The state is including students in grades KG through third in school sites designated as Additional Targeted Support and Improvement (ATSI) sites under the ESSA. </w:t>
      </w:r>
    </w:p>
    <w:p w14:paraId="74BC6A9B" w14:textId="77777777" w:rsidR="00AE1972" w:rsidRPr="00781112" w:rsidRDefault="00AE1972" w:rsidP="00AE1972">
      <w:pPr>
        <w:rPr>
          <w:b/>
          <w:bCs/>
        </w:rPr>
      </w:pPr>
    </w:p>
    <w:p w14:paraId="7B52B71D" w14:textId="77777777" w:rsidR="00AE1972" w:rsidRPr="00781112" w:rsidRDefault="00AE1972" w:rsidP="00AE1972">
      <w:pPr>
        <w:rPr>
          <w:b/>
          <w:bCs/>
        </w:rPr>
      </w:pPr>
      <w:r w:rsidRPr="00781112">
        <w:rPr>
          <w:b/>
          <w:bCs/>
        </w:rPr>
        <w:t>Is the State’s theory of action new or revised since the previous submission? (yes/no)</w:t>
      </w:r>
    </w:p>
    <w:p w14:paraId="2F47C8A6" w14:textId="34E2E007" w:rsidR="00AE1972" w:rsidRDefault="00AE1972" w:rsidP="00AE1972">
      <w:r w:rsidRPr="00781112">
        <w:t>NO</w:t>
      </w:r>
    </w:p>
    <w:p w14:paraId="233336CC" w14:textId="56400261" w:rsidR="00A202E9" w:rsidRPr="00781112" w:rsidRDefault="00A202E9" w:rsidP="00A202E9">
      <w:pPr>
        <w:rPr>
          <w:rFonts w:cs="Arial"/>
          <w:b/>
          <w:bCs/>
          <w:szCs w:val="16"/>
        </w:rPr>
      </w:pPr>
      <w:r w:rsidRPr="00781112">
        <w:rPr>
          <w:rFonts w:cs="Arial"/>
          <w:b/>
          <w:bCs/>
          <w:szCs w:val="16"/>
        </w:rPr>
        <w:t>Please provide a link to the current theory of action.</w:t>
      </w:r>
    </w:p>
    <w:p w14:paraId="7EC9F4F7" w14:textId="0C6CDBBD" w:rsidR="00A202E9" w:rsidRDefault="00A202E9" w:rsidP="00A202E9">
      <w:r w:rsidRPr="00781112">
        <w:t>https://sde.ok.gov/sites/default/files/Theory%20of%20Change.pdf</w:t>
      </w:r>
    </w:p>
    <w:p w14:paraId="4736A5D8" w14:textId="1685348D" w:rsidR="00CF0910" w:rsidRDefault="00CF0910" w:rsidP="00A202E9"/>
    <w:p w14:paraId="0F3DB9FA" w14:textId="77777777" w:rsidR="00CF0910" w:rsidRPr="00781112" w:rsidRDefault="00CF0910" w:rsidP="00A202E9"/>
    <w:p w14:paraId="46EF1253" w14:textId="77777777" w:rsidR="00AE1972" w:rsidRPr="00781112" w:rsidRDefault="00AE1972" w:rsidP="00AE1972">
      <w:pPr>
        <w:rPr>
          <w:b/>
          <w:bCs/>
        </w:rPr>
      </w:pPr>
    </w:p>
    <w:p w14:paraId="5C9EC454" w14:textId="77777777" w:rsidR="00AE1972" w:rsidRPr="007E6407" w:rsidRDefault="00AE1972" w:rsidP="007E6407">
      <w:pPr>
        <w:rPr>
          <w:b/>
          <w:bCs/>
        </w:rPr>
      </w:pPr>
      <w:r w:rsidRPr="007E6407">
        <w:rPr>
          <w:b/>
          <w:bCs/>
        </w:rPr>
        <w:t>Progress toward the SiMR</w:t>
      </w:r>
    </w:p>
    <w:p w14:paraId="51DEC3F9"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6A111227" w14:textId="77777777" w:rsidR="00AE1972" w:rsidRPr="00781112" w:rsidRDefault="00AE1972" w:rsidP="00AE1972">
      <w:pPr>
        <w:rPr>
          <w:b/>
          <w:bCs/>
        </w:rPr>
      </w:pPr>
      <w:r w:rsidRPr="00781112">
        <w:rPr>
          <w:b/>
          <w:bCs/>
        </w:rPr>
        <w:t>Select yes if the State uses two targets for measurement. (yes/no)</w:t>
      </w:r>
    </w:p>
    <w:p w14:paraId="2BF2552F" w14:textId="1ABFEEE3" w:rsidR="00AE1972" w:rsidRDefault="00AE1972" w:rsidP="00AE1972">
      <w:r w:rsidRPr="00781112">
        <w:t>NO</w:t>
      </w:r>
    </w:p>
    <w:p w14:paraId="1782B857" w14:textId="77777777" w:rsidR="00AE1972" w:rsidRPr="00781112" w:rsidRDefault="00AE1972" w:rsidP="00AE1972"/>
    <w:p w14:paraId="0CE6ADBC" w14:textId="77777777" w:rsidR="00AE1972" w:rsidRPr="00781112" w:rsidRDefault="00AE1972" w:rsidP="00AE1972">
      <w:pPr>
        <w:rPr>
          <w:rFonts w:cs="Arial"/>
          <w:b/>
          <w:color w:val="000000" w:themeColor="text1"/>
          <w:szCs w:val="16"/>
        </w:rPr>
      </w:pPr>
      <w:r w:rsidRPr="00781112">
        <w:rPr>
          <w:rFonts w:cs="Arial"/>
          <w:b/>
          <w:color w:val="000000" w:themeColor="text1"/>
          <w:szCs w:val="16"/>
        </w:rPr>
        <w:t>Historical Data</w:t>
      </w: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7BASELINEDATA"/>
      </w:tblPr>
      <w:tblGrid>
        <w:gridCol w:w="2811"/>
        <w:gridCol w:w="875"/>
      </w:tblGrid>
      <w:tr w:rsidR="00AE1972" w:rsidRPr="00781112" w14:paraId="1864403F" w14:textId="77777777" w:rsidTr="00597BC3">
        <w:trPr>
          <w:trHeight w:val="350"/>
          <w:tblHeader/>
        </w:trPr>
        <w:tc>
          <w:tcPr>
            <w:tcW w:w="4389" w:type="pct"/>
            <w:tcBorders>
              <w:bottom w:val="single" w:sz="4" w:space="0" w:color="auto"/>
            </w:tcBorders>
            <w:shd w:val="clear" w:color="auto" w:fill="auto"/>
            <w:vAlign w:val="center"/>
          </w:tcPr>
          <w:p w14:paraId="0F193165" w14:textId="77777777" w:rsidR="00AE1972" w:rsidRPr="00781112" w:rsidRDefault="00AE1972" w:rsidP="00FE5C1F">
            <w:pPr>
              <w:jc w:val="center"/>
              <w:rPr>
                <w:b/>
                <w:bCs/>
                <w:color w:val="000000" w:themeColor="text1"/>
              </w:rPr>
            </w:pPr>
            <w:r w:rsidRPr="00781112">
              <w:rPr>
                <w:b/>
                <w:bCs/>
                <w:color w:val="000000" w:themeColor="text1"/>
              </w:rPr>
              <w:t>Baseline Year</w:t>
            </w:r>
          </w:p>
        </w:tc>
        <w:tc>
          <w:tcPr>
            <w:tcW w:w="611" w:type="pct"/>
            <w:shd w:val="clear" w:color="auto" w:fill="auto"/>
            <w:vAlign w:val="center"/>
          </w:tcPr>
          <w:p w14:paraId="54889FB8" w14:textId="77777777" w:rsidR="00AE1972" w:rsidRPr="00781112" w:rsidRDefault="00AE1972" w:rsidP="00FE5C1F">
            <w:pPr>
              <w:jc w:val="center"/>
              <w:rPr>
                <w:b/>
                <w:bCs/>
                <w:color w:val="000000" w:themeColor="text1"/>
              </w:rPr>
            </w:pPr>
            <w:r w:rsidRPr="00781112">
              <w:rPr>
                <w:b/>
                <w:bCs/>
                <w:color w:val="000000" w:themeColor="text1"/>
              </w:rPr>
              <w:t>Baseline Data</w:t>
            </w:r>
          </w:p>
        </w:tc>
      </w:tr>
      <w:tr w:rsidR="00AE1972" w:rsidRPr="00781112" w14:paraId="6F811ED4" w14:textId="77777777" w:rsidTr="00597BC3">
        <w:trPr>
          <w:trHeight w:val="350"/>
        </w:trPr>
        <w:tc>
          <w:tcPr>
            <w:tcW w:w="4389" w:type="pct"/>
            <w:tcBorders>
              <w:bottom w:val="single" w:sz="4" w:space="0" w:color="auto"/>
            </w:tcBorders>
            <w:shd w:val="clear" w:color="auto" w:fill="auto"/>
          </w:tcPr>
          <w:p w14:paraId="590161AA" w14:textId="53B72043" w:rsidR="00AE1972" w:rsidRPr="00781112" w:rsidRDefault="00AE1972" w:rsidP="00FE5C1F">
            <w:pPr>
              <w:jc w:val="center"/>
              <w:rPr>
                <w:b/>
                <w:color w:val="000000" w:themeColor="text1"/>
              </w:rPr>
            </w:pPr>
            <w:r w:rsidRPr="00781112">
              <w:rPr>
                <w:color w:val="000000" w:themeColor="text1"/>
              </w:rPr>
              <w:t>2020</w:t>
            </w:r>
          </w:p>
        </w:tc>
        <w:tc>
          <w:tcPr>
            <w:tcW w:w="611" w:type="pct"/>
            <w:shd w:val="clear" w:color="auto" w:fill="auto"/>
            <w:vAlign w:val="center"/>
          </w:tcPr>
          <w:p w14:paraId="250C9A1D" w14:textId="277095B1" w:rsidR="00AE1972" w:rsidRPr="00781112" w:rsidRDefault="00AE1972" w:rsidP="00FE5C1F">
            <w:pPr>
              <w:jc w:val="center"/>
              <w:rPr>
                <w:color w:val="000000" w:themeColor="text1"/>
              </w:rPr>
            </w:pPr>
            <w:r w:rsidRPr="00781112">
              <w:rPr>
                <w:color w:val="000000" w:themeColor="text1"/>
              </w:rPr>
              <w:t>50.44%</w:t>
            </w:r>
          </w:p>
        </w:tc>
      </w:tr>
    </w:tbl>
    <w:p w14:paraId="4788921E" w14:textId="77777777" w:rsidR="00AE1972" w:rsidRPr="00781112" w:rsidRDefault="00AE1972" w:rsidP="00AE1972">
      <w:pPr>
        <w:rPr>
          <w:rFonts w:cs="Arial"/>
          <w:b/>
          <w:color w:val="000000" w:themeColor="text1"/>
          <w:szCs w:val="16"/>
        </w:rPr>
      </w:pPr>
    </w:p>
    <w:p w14:paraId="5D5A6057" w14:textId="77777777" w:rsidR="00AE1972" w:rsidRPr="00781112" w:rsidRDefault="00AE1972" w:rsidP="00AE1972">
      <w:pPr>
        <w:rPr>
          <w:color w:val="000000" w:themeColor="text1"/>
        </w:rPr>
      </w:pPr>
      <w:r w:rsidRPr="00781112">
        <w:rPr>
          <w:b/>
          <w:color w:val="000000" w:themeColor="text1"/>
        </w:rPr>
        <w:t>Targets</w:t>
      </w:r>
    </w:p>
    <w:tbl>
      <w:tblPr>
        <w:tblW w:w="4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TARGETS"/>
      </w:tblPr>
      <w:tblGrid>
        <w:gridCol w:w="806"/>
        <w:gridCol w:w="1664"/>
        <w:gridCol w:w="1665"/>
        <w:gridCol w:w="1665"/>
        <w:gridCol w:w="1665"/>
        <w:gridCol w:w="1661"/>
      </w:tblGrid>
      <w:tr w:rsidR="004158DD" w:rsidRPr="00781112" w14:paraId="6151B608" w14:textId="77777777" w:rsidTr="00451D7E">
        <w:trPr>
          <w:trHeight w:val="360"/>
        </w:trPr>
        <w:tc>
          <w:tcPr>
            <w:tcW w:w="442" w:type="pct"/>
            <w:tcBorders>
              <w:bottom w:val="single" w:sz="4" w:space="0" w:color="auto"/>
            </w:tcBorders>
            <w:shd w:val="clear" w:color="auto" w:fill="auto"/>
          </w:tcPr>
          <w:p w14:paraId="6F2EC278" w14:textId="77777777" w:rsidR="004158DD" w:rsidRPr="00781112" w:rsidRDefault="004158DD" w:rsidP="00FE5C1F">
            <w:pPr>
              <w:jc w:val="center"/>
              <w:rPr>
                <w:b/>
                <w:color w:val="000000" w:themeColor="text1"/>
              </w:rPr>
            </w:pPr>
            <w:r w:rsidRPr="00781112">
              <w:rPr>
                <w:b/>
                <w:color w:val="000000" w:themeColor="text1"/>
              </w:rPr>
              <w:t>FFY</w:t>
            </w:r>
          </w:p>
        </w:tc>
        <w:tc>
          <w:tcPr>
            <w:tcW w:w="912" w:type="pct"/>
            <w:shd w:val="clear" w:color="auto" w:fill="auto"/>
            <w:vAlign w:val="center"/>
          </w:tcPr>
          <w:p w14:paraId="6FE75FC4" w14:textId="77777777" w:rsidR="004158DD" w:rsidRPr="00781112" w:rsidRDefault="004158DD" w:rsidP="00FE5C1F">
            <w:pPr>
              <w:jc w:val="center"/>
              <w:rPr>
                <w:b/>
                <w:color w:val="000000" w:themeColor="text1"/>
              </w:rPr>
            </w:pPr>
            <w:r w:rsidRPr="00781112">
              <w:rPr>
                <w:b/>
                <w:color w:val="000000" w:themeColor="text1"/>
              </w:rPr>
              <w:t>2021</w:t>
            </w:r>
          </w:p>
        </w:tc>
        <w:tc>
          <w:tcPr>
            <w:tcW w:w="912" w:type="pct"/>
          </w:tcPr>
          <w:p w14:paraId="1A51CAE1" w14:textId="77777777" w:rsidR="004158DD" w:rsidRPr="00781112" w:rsidRDefault="004158DD" w:rsidP="00FE5C1F">
            <w:pPr>
              <w:jc w:val="center"/>
              <w:rPr>
                <w:b/>
                <w:color w:val="000000" w:themeColor="text1"/>
              </w:rPr>
            </w:pPr>
            <w:r w:rsidRPr="00781112">
              <w:rPr>
                <w:rFonts w:cs="Arial"/>
                <w:b/>
                <w:color w:val="000000" w:themeColor="text1"/>
                <w:szCs w:val="16"/>
              </w:rPr>
              <w:t>2022</w:t>
            </w:r>
          </w:p>
        </w:tc>
        <w:tc>
          <w:tcPr>
            <w:tcW w:w="912" w:type="pct"/>
          </w:tcPr>
          <w:p w14:paraId="4EE0EA23" w14:textId="77777777" w:rsidR="004158DD" w:rsidRPr="00781112" w:rsidRDefault="004158DD" w:rsidP="00FE5C1F">
            <w:pPr>
              <w:jc w:val="center"/>
              <w:rPr>
                <w:b/>
                <w:color w:val="000000" w:themeColor="text1"/>
              </w:rPr>
            </w:pPr>
            <w:r w:rsidRPr="00781112">
              <w:rPr>
                <w:rFonts w:cs="Arial"/>
                <w:b/>
                <w:color w:val="000000" w:themeColor="text1"/>
                <w:szCs w:val="16"/>
              </w:rPr>
              <w:t>2023</w:t>
            </w:r>
          </w:p>
        </w:tc>
        <w:tc>
          <w:tcPr>
            <w:tcW w:w="912" w:type="pct"/>
          </w:tcPr>
          <w:p w14:paraId="258316BC" w14:textId="77777777" w:rsidR="004158DD" w:rsidRPr="00781112" w:rsidRDefault="004158DD" w:rsidP="00FE5C1F">
            <w:pPr>
              <w:jc w:val="center"/>
              <w:rPr>
                <w:b/>
                <w:color w:val="000000" w:themeColor="text1"/>
              </w:rPr>
            </w:pPr>
            <w:r w:rsidRPr="00781112">
              <w:rPr>
                <w:rFonts w:cs="Arial"/>
                <w:b/>
                <w:color w:val="000000" w:themeColor="text1"/>
                <w:szCs w:val="16"/>
              </w:rPr>
              <w:t>2024</w:t>
            </w:r>
          </w:p>
        </w:tc>
        <w:tc>
          <w:tcPr>
            <w:tcW w:w="912" w:type="pct"/>
          </w:tcPr>
          <w:p w14:paraId="310BF1DB" w14:textId="77777777" w:rsidR="004158DD" w:rsidRPr="00781112" w:rsidRDefault="004158DD" w:rsidP="00FE5C1F">
            <w:pPr>
              <w:jc w:val="center"/>
              <w:rPr>
                <w:b/>
                <w:color w:val="000000" w:themeColor="text1"/>
              </w:rPr>
            </w:pPr>
            <w:r w:rsidRPr="00781112">
              <w:rPr>
                <w:rFonts w:cs="Arial"/>
                <w:b/>
                <w:color w:val="000000" w:themeColor="text1"/>
                <w:szCs w:val="16"/>
              </w:rPr>
              <w:t>2025</w:t>
            </w:r>
          </w:p>
        </w:tc>
      </w:tr>
      <w:tr w:rsidR="004158DD" w:rsidRPr="00781112" w14:paraId="7F5560B1" w14:textId="77777777" w:rsidTr="00451D7E">
        <w:trPr>
          <w:trHeight w:val="367"/>
        </w:trPr>
        <w:tc>
          <w:tcPr>
            <w:tcW w:w="442" w:type="pct"/>
            <w:shd w:val="clear" w:color="auto" w:fill="auto"/>
          </w:tcPr>
          <w:p w14:paraId="16C136D0" w14:textId="77777777" w:rsidR="004158DD" w:rsidRPr="00781112" w:rsidRDefault="004158DD" w:rsidP="00FE5C1F">
            <w:pPr>
              <w:rPr>
                <w:rFonts w:cs="Arial"/>
                <w:color w:val="000000" w:themeColor="text1"/>
                <w:szCs w:val="16"/>
              </w:rPr>
            </w:pPr>
            <w:r w:rsidRPr="00781112">
              <w:rPr>
                <w:rFonts w:cs="Arial"/>
                <w:color w:val="000000" w:themeColor="text1"/>
                <w:szCs w:val="16"/>
              </w:rPr>
              <w:t>Target&gt;=</w:t>
            </w:r>
          </w:p>
        </w:tc>
        <w:tc>
          <w:tcPr>
            <w:tcW w:w="912" w:type="pct"/>
            <w:shd w:val="clear" w:color="auto" w:fill="auto"/>
            <w:vAlign w:val="center"/>
          </w:tcPr>
          <w:p w14:paraId="0D607E3E" w14:textId="0FE0E0F2" w:rsidR="004158DD" w:rsidRPr="00781112" w:rsidRDefault="004158DD" w:rsidP="00FE5C1F">
            <w:pPr>
              <w:jc w:val="center"/>
              <w:rPr>
                <w:color w:val="000000" w:themeColor="text1"/>
              </w:rPr>
            </w:pPr>
            <w:r w:rsidRPr="00781112">
              <w:rPr>
                <w:color w:val="000000" w:themeColor="text1"/>
              </w:rPr>
              <w:t>50.44%</w:t>
            </w:r>
          </w:p>
        </w:tc>
        <w:tc>
          <w:tcPr>
            <w:tcW w:w="912" w:type="pct"/>
          </w:tcPr>
          <w:p w14:paraId="49D7B83C" w14:textId="5D2EEC9F" w:rsidR="004158DD" w:rsidRPr="00781112" w:rsidRDefault="004158DD" w:rsidP="00FE5C1F">
            <w:pPr>
              <w:jc w:val="center"/>
              <w:rPr>
                <w:color w:val="000000" w:themeColor="text1"/>
              </w:rPr>
            </w:pPr>
            <w:r w:rsidRPr="00781112">
              <w:rPr>
                <w:rFonts w:cs="Arial"/>
                <w:color w:val="000000" w:themeColor="text1"/>
                <w:szCs w:val="16"/>
              </w:rPr>
              <w:t>52.00%</w:t>
            </w:r>
          </w:p>
        </w:tc>
        <w:tc>
          <w:tcPr>
            <w:tcW w:w="912" w:type="pct"/>
          </w:tcPr>
          <w:p w14:paraId="73C3B9F9" w14:textId="4B324AE0" w:rsidR="004158DD" w:rsidRPr="00781112" w:rsidRDefault="004158DD" w:rsidP="00FE5C1F">
            <w:pPr>
              <w:jc w:val="center"/>
              <w:rPr>
                <w:color w:val="000000" w:themeColor="text1"/>
              </w:rPr>
            </w:pPr>
            <w:r w:rsidRPr="00781112">
              <w:rPr>
                <w:rFonts w:cs="Arial"/>
                <w:color w:val="000000" w:themeColor="text1"/>
                <w:szCs w:val="16"/>
              </w:rPr>
              <w:t>53.50%</w:t>
            </w:r>
          </w:p>
        </w:tc>
        <w:tc>
          <w:tcPr>
            <w:tcW w:w="912" w:type="pct"/>
          </w:tcPr>
          <w:p w14:paraId="36C2800A" w14:textId="411CFB34" w:rsidR="004158DD" w:rsidRPr="00781112" w:rsidRDefault="004158DD" w:rsidP="00FE5C1F">
            <w:pPr>
              <w:jc w:val="center"/>
              <w:rPr>
                <w:color w:val="000000" w:themeColor="text1"/>
              </w:rPr>
            </w:pPr>
            <w:r w:rsidRPr="00781112">
              <w:rPr>
                <w:rFonts w:cs="Arial"/>
                <w:color w:val="000000" w:themeColor="text1"/>
                <w:szCs w:val="16"/>
              </w:rPr>
              <w:t>55.00%</w:t>
            </w:r>
          </w:p>
        </w:tc>
        <w:tc>
          <w:tcPr>
            <w:tcW w:w="912" w:type="pct"/>
          </w:tcPr>
          <w:p w14:paraId="5EB6DFC4" w14:textId="4B024AC3" w:rsidR="004158DD" w:rsidRPr="00781112" w:rsidRDefault="004158DD" w:rsidP="00FE5C1F">
            <w:pPr>
              <w:jc w:val="center"/>
              <w:rPr>
                <w:color w:val="000000" w:themeColor="text1"/>
              </w:rPr>
            </w:pPr>
            <w:r w:rsidRPr="00781112">
              <w:rPr>
                <w:rFonts w:cs="Arial"/>
                <w:color w:val="000000" w:themeColor="text1"/>
                <w:szCs w:val="16"/>
              </w:rPr>
              <w:t>56.50%</w:t>
            </w:r>
          </w:p>
        </w:tc>
      </w:tr>
    </w:tbl>
    <w:p w14:paraId="096B5400" w14:textId="77777777" w:rsidR="00AE1972" w:rsidRPr="00781112" w:rsidRDefault="00AE1972" w:rsidP="00AE1972">
      <w:pPr>
        <w:pStyle w:val="Italic"/>
        <w:rPr>
          <w:rFonts w:cs="Arial"/>
          <w:i w:val="0"/>
          <w:color w:val="000000" w:themeColor="text1"/>
          <w:szCs w:val="16"/>
        </w:rPr>
      </w:pPr>
    </w:p>
    <w:p w14:paraId="7582347A" w14:textId="648DE41D" w:rsidR="00AE1972" w:rsidRPr="00781112" w:rsidRDefault="0047313F" w:rsidP="00AE1972">
      <w:pPr>
        <w:rPr>
          <w:b/>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00B21923" w:rsidRPr="00781112" w14:paraId="6ACE308B" w14:textId="77777777" w:rsidTr="004B2960">
        <w:trPr>
          <w:trHeight w:val="354"/>
        </w:trPr>
        <w:tc>
          <w:tcPr>
            <w:tcW w:w="1165" w:type="pct"/>
            <w:shd w:val="clear" w:color="auto" w:fill="auto"/>
            <w:vAlign w:val="bottom"/>
          </w:tcPr>
          <w:p w14:paraId="1F241A2B" w14:textId="43C3BBEC" w:rsidR="00B21923" w:rsidRPr="00781112" w:rsidRDefault="00B21923" w:rsidP="00B21923">
            <w:pPr>
              <w:jc w:val="center"/>
              <w:rPr>
                <w:b/>
                <w:bCs/>
                <w:color w:val="000000" w:themeColor="text1"/>
                <w:szCs w:val="16"/>
              </w:rPr>
            </w:pPr>
            <w:r w:rsidRPr="00781112">
              <w:rPr>
                <w:b/>
                <w:bCs/>
                <w:color w:val="000000" w:themeColor="text1"/>
                <w:szCs w:val="16"/>
              </w:rPr>
              <w:t>Number of students Demonstrating Literacy Sufficiency by End of Year</w:t>
            </w:r>
          </w:p>
        </w:tc>
        <w:tc>
          <w:tcPr>
            <w:tcW w:w="876" w:type="pct"/>
            <w:shd w:val="clear" w:color="auto" w:fill="auto"/>
            <w:vAlign w:val="bottom"/>
          </w:tcPr>
          <w:p w14:paraId="470CA230" w14:textId="5C37C1F9" w:rsidR="00B21923" w:rsidRPr="00781112" w:rsidRDefault="00B21923" w:rsidP="00B21923">
            <w:pPr>
              <w:jc w:val="center"/>
              <w:rPr>
                <w:b/>
                <w:bCs/>
                <w:color w:val="000000" w:themeColor="text1"/>
                <w:szCs w:val="16"/>
              </w:rPr>
            </w:pPr>
            <w:r w:rsidRPr="00781112">
              <w:rPr>
                <w:b/>
                <w:bCs/>
                <w:color w:val="000000" w:themeColor="text1"/>
                <w:szCs w:val="16"/>
              </w:rPr>
              <w:t>Number of Students Assessed on Literacy Benchmarks</w:t>
            </w:r>
          </w:p>
        </w:tc>
        <w:tc>
          <w:tcPr>
            <w:tcW w:w="667" w:type="pct"/>
            <w:shd w:val="clear" w:color="auto" w:fill="auto"/>
            <w:vAlign w:val="bottom"/>
          </w:tcPr>
          <w:p w14:paraId="4AB6D89D" w14:textId="32751A3B" w:rsidR="00B21923" w:rsidRPr="00781112" w:rsidRDefault="00B21923" w:rsidP="00B21923">
            <w:pPr>
              <w:jc w:val="center"/>
              <w:rPr>
                <w:b/>
                <w:color w:val="000000" w:themeColor="text1"/>
                <w:szCs w:val="16"/>
              </w:rPr>
            </w:pPr>
            <w:r>
              <w:t>FFY 2020</w:t>
            </w:r>
            <w:r w:rsidRPr="00C318B5">
              <w:t xml:space="preserve"> Data</w:t>
            </w:r>
          </w:p>
        </w:tc>
        <w:tc>
          <w:tcPr>
            <w:tcW w:w="626" w:type="pct"/>
            <w:shd w:val="clear" w:color="auto" w:fill="auto"/>
            <w:vAlign w:val="bottom"/>
          </w:tcPr>
          <w:p w14:paraId="63A0DC52" w14:textId="517C2046" w:rsidR="00B21923" w:rsidRPr="00781112" w:rsidRDefault="00B21923" w:rsidP="00B21923">
            <w:pPr>
              <w:jc w:val="center"/>
              <w:rPr>
                <w:b/>
                <w:color w:val="000000" w:themeColor="text1"/>
                <w:szCs w:val="16"/>
              </w:rPr>
            </w:pPr>
            <w:r>
              <w:t>FFY 2021</w:t>
            </w:r>
            <w:r w:rsidRPr="00C318B5">
              <w:t xml:space="preserve"> Target</w:t>
            </w:r>
          </w:p>
        </w:tc>
        <w:tc>
          <w:tcPr>
            <w:tcW w:w="584" w:type="pct"/>
            <w:shd w:val="clear" w:color="auto" w:fill="auto"/>
            <w:vAlign w:val="bottom"/>
          </w:tcPr>
          <w:p w14:paraId="2D311519" w14:textId="21EF0B47" w:rsidR="00B21923" w:rsidRPr="00781112" w:rsidRDefault="00B21923" w:rsidP="00B21923">
            <w:pPr>
              <w:jc w:val="center"/>
              <w:rPr>
                <w:b/>
                <w:color w:val="000000" w:themeColor="text1"/>
                <w:szCs w:val="16"/>
              </w:rPr>
            </w:pPr>
            <w:r>
              <w:t>FFY 2021</w:t>
            </w:r>
            <w:r w:rsidRPr="00C318B5">
              <w:t xml:space="preserve"> Data</w:t>
            </w:r>
          </w:p>
        </w:tc>
        <w:tc>
          <w:tcPr>
            <w:tcW w:w="584" w:type="pct"/>
            <w:shd w:val="clear" w:color="auto" w:fill="auto"/>
            <w:vAlign w:val="bottom"/>
          </w:tcPr>
          <w:p w14:paraId="4F033BB8" w14:textId="77777777" w:rsidR="00B21923" w:rsidRPr="00781112" w:rsidRDefault="00B21923" w:rsidP="00B21923">
            <w:pPr>
              <w:jc w:val="center"/>
              <w:rPr>
                <w:b/>
                <w:color w:val="000000" w:themeColor="text1"/>
                <w:szCs w:val="16"/>
              </w:rPr>
            </w:pPr>
            <w:r w:rsidRPr="00781112">
              <w:rPr>
                <w:b/>
                <w:color w:val="000000" w:themeColor="text1"/>
                <w:szCs w:val="16"/>
              </w:rPr>
              <w:t>Status</w:t>
            </w:r>
          </w:p>
        </w:tc>
        <w:tc>
          <w:tcPr>
            <w:tcW w:w="498" w:type="pct"/>
            <w:shd w:val="clear" w:color="auto" w:fill="auto"/>
            <w:vAlign w:val="bottom"/>
          </w:tcPr>
          <w:p w14:paraId="4A16E14D" w14:textId="77777777" w:rsidR="00B21923" w:rsidRPr="00781112" w:rsidRDefault="00B21923" w:rsidP="00B21923">
            <w:pPr>
              <w:jc w:val="center"/>
              <w:rPr>
                <w:b/>
                <w:color w:val="000000" w:themeColor="text1"/>
                <w:szCs w:val="16"/>
              </w:rPr>
            </w:pPr>
            <w:r w:rsidRPr="00781112">
              <w:rPr>
                <w:b/>
                <w:color w:val="000000" w:themeColor="text1"/>
                <w:szCs w:val="16"/>
              </w:rPr>
              <w:t>Slippage</w:t>
            </w:r>
          </w:p>
        </w:tc>
      </w:tr>
      <w:tr w:rsidR="00AE1972" w:rsidRPr="00781112" w14:paraId="0CC3AF11" w14:textId="77777777" w:rsidTr="004B2960">
        <w:trPr>
          <w:trHeight w:val="287"/>
        </w:trPr>
        <w:tc>
          <w:tcPr>
            <w:tcW w:w="1165" w:type="pct"/>
            <w:shd w:val="clear" w:color="auto" w:fill="auto"/>
            <w:vAlign w:val="center"/>
          </w:tcPr>
          <w:p w14:paraId="03294214" w14:textId="00B9AA4D" w:rsidR="00AE1972" w:rsidRPr="00781112" w:rsidRDefault="00AE1972" w:rsidP="00FE5C1F">
            <w:pPr>
              <w:jc w:val="center"/>
              <w:rPr>
                <w:color w:val="000000" w:themeColor="text1"/>
                <w:szCs w:val="16"/>
              </w:rPr>
            </w:pPr>
            <w:r w:rsidRPr="00781112">
              <w:rPr>
                <w:color w:val="000000" w:themeColor="text1"/>
                <w:szCs w:val="16"/>
              </w:rPr>
              <w:t>8,343</w:t>
            </w:r>
          </w:p>
        </w:tc>
        <w:tc>
          <w:tcPr>
            <w:tcW w:w="876" w:type="pct"/>
            <w:shd w:val="clear" w:color="auto" w:fill="auto"/>
            <w:vAlign w:val="center"/>
          </w:tcPr>
          <w:p w14:paraId="60D8BD39" w14:textId="04B0428F" w:rsidR="00AE1972" w:rsidRPr="00781112" w:rsidRDefault="00AE1972" w:rsidP="00FE5C1F">
            <w:pPr>
              <w:jc w:val="center"/>
              <w:rPr>
                <w:color w:val="000000" w:themeColor="text1"/>
                <w:szCs w:val="16"/>
              </w:rPr>
            </w:pPr>
            <w:r w:rsidRPr="00781112">
              <w:rPr>
                <w:color w:val="000000" w:themeColor="text1"/>
                <w:szCs w:val="16"/>
              </w:rPr>
              <w:t>17,502</w:t>
            </w:r>
          </w:p>
        </w:tc>
        <w:tc>
          <w:tcPr>
            <w:tcW w:w="667" w:type="pct"/>
            <w:shd w:val="clear" w:color="auto" w:fill="auto"/>
          </w:tcPr>
          <w:p w14:paraId="75E02A3E" w14:textId="1669E08C" w:rsidR="00AE1972" w:rsidRPr="00781112" w:rsidRDefault="00AE1972" w:rsidP="00FE5C1F">
            <w:pPr>
              <w:jc w:val="center"/>
              <w:rPr>
                <w:color w:val="000000" w:themeColor="text1"/>
                <w:szCs w:val="16"/>
              </w:rPr>
            </w:pPr>
            <w:r w:rsidRPr="00781112">
              <w:rPr>
                <w:rFonts w:cs="Arial"/>
                <w:color w:val="000000" w:themeColor="text1"/>
                <w:szCs w:val="16"/>
              </w:rPr>
              <w:t>50.44%</w:t>
            </w:r>
          </w:p>
        </w:tc>
        <w:tc>
          <w:tcPr>
            <w:tcW w:w="626" w:type="pct"/>
            <w:shd w:val="clear" w:color="auto" w:fill="auto"/>
          </w:tcPr>
          <w:p w14:paraId="33C18B01" w14:textId="595A4E89" w:rsidR="00AE1972" w:rsidRPr="00781112" w:rsidRDefault="00AE1972" w:rsidP="00FE5C1F">
            <w:pPr>
              <w:jc w:val="center"/>
              <w:rPr>
                <w:color w:val="000000" w:themeColor="text1"/>
                <w:szCs w:val="16"/>
              </w:rPr>
            </w:pPr>
            <w:r w:rsidRPr="00781112">
              <w:rPr>
                <w:color w:val="000000" w:themeColor="text1"/>
                <w:szCs w:val="16"/>
              </w:rPr>
              <w:t>50.44%</w:t>
            </w:r>
          </w:p>
        </w:tc>
        <w:tc>
          <w:tcPr>
            <w:tcW w:w="584" w:type="pct"/>
            <w:shd w:val="clear" w:color="auto" w:fill="auto"/>
          </w:tcPr>
          <w:p w14:paraId="22FE7038" w14:textId="7027AD57" w:rsidR="00AE1972" w:rsidRPr="00781112" w:rsidRDefault="00AE1972" w:rsidP="00FE5C1F">
            <w:pPr>
              <w:jc w:val="center"/>
              <w:rPr>
                <w:color w:val="000000" w:themeColor="text1"/>
                <w:szCs w:val="16"/>
              </w:rPr>
            </w:pPr>
            <w:r w:rsidRPr="00781112">
              <w:rPr>
                <w:rFonts w:cs="Arial"/>
                <w:color w:val="000000" w:themeColor="text1"/>
                <w:szCs w:val="16"/>
              </w:rPr>
              <w:t>47.67%</w:t>
            </w:r>
          </w:p>
        </w:tc>
        <w:tc>
          <w:tcPr>
            <w:tcW w:w="584" w:type="pct"/>
            <w:shd w:val="clear" w:color="auto" w:fill="auto"/>
          </w:tcPr>
          <w:p w14:paraId="1623D96E" w14:textId="3DCB7177" w:rsidR="00AE1972" w:rsidRPr="00781112" w:rsidRDefault="00AE1972" w:rsidP="00FE5C1F">
            <w:pPr>
              <w:jc w:val="center"/>
              <w:rPr>
                <w:color w:val="000000" w:themeColor="text1"/>
              </w:rPr>
            </w:pPr>
            <w:r w:rsidRPr="00781112">
              <w:rPr>
                <w:color w:val="000000" w:themeColor="text1"/>
              </w:rPr>
              <w:t>Did not meet target</w:t>
            </w:r>
          </w:p>
        </w:tc>
        <w:tc>
          <w:tcPr>
            <w:tcW w:w="498" w:type="pct"/>
            <w:shd w:val="clear" w:color="auto" w:fill="auto"/>
          </w:tcPr>
          <w:p w14:paraId="78591691" w14:textId="070A8ABA" w:rsidR="00AE1972" w:rsidRPr="00781112" w:rsidRDefault="00AE1972" w:rsidP="00FE5C1F">
            <w:pPr>
              <w:jc w:val="center"/>
              <w:rPr>
                <w:color w:val="000000" w:themeColor="text1"/>
              </w:rPr>
            </w:pPr>
            <w:r w:rsidRPr="00781112">
              <w:rPr>
                <w:color w:val="000000" w:themeColor="text1"/>
              </w:rPr>
              <w:t>Slippage</w:t>
            </w:r>
          </w:p>
        </w:tc>
      </w:tr>
    </w:tbl>
    <w:p w14:paraId="41D5A2DB" w14:textId="77777777" w:rsidR="00AE1972" w:rsidRPr="00781112" w:rsidRDefault="00AE1972" w:rsidP="00AE1972">
      <w:pPr>
        <w:rPr>
          <w:rFonts w:cs="Arial"/>
          <w:b/>
          <w:i/>
          <w:color w:val="000000" w:themeColor="text1"/>
          <w:szCs w:val="16"/>
        </w:rPr>
      </w:pPr>
      <w:r w:rsidRPr="00781112">
        <w:rPr>
          <w:rFonts w:cs="Arial"/>
          <w:b/>
          <w:color w:val="000000" w:themeColor="text1"/>
          <w:szCs w:val="16"/>
        </w:rPr>
        <w:t xml:space="preserve">Provide reasons for slippage, if applicable </w:t>
      </w:r>
    </w:p>
    <w:p w14:paraId="3BD5956F" w14:textId="215BB5DA" w:rsidR="00AE1972" w:rsidRPr="00781112" w:rsidRDefault="00AE1972" w:rsidP="00AE1972">
      <w:pPr>
        <w:rPr>
          <w:color w:val="000000" w:themeColor="text1"/>
        </w:rPr>
      </w:pPr>
      <w:r w:rsidRPr="00781112">
        <w:rPr>
          <w:color w:val="000000" w:themeColor="text1"/>
        </w:rPr>
        <w:t xml:space="preserve">The state does not have a verified explanation for slippage. The SSIP had not begun full implementation working with sites in SY 21-22, the year these results reflect. </w:t>
      </w:r>
      <w:r w:rsidRPr="00781112">
        <w:rPr>
          <w:color w:val="000000" w:themeColor="text1"/>
        </w:rPr>
        <w:br/>
      </w:r>
      <w:r w:rsidRPr="00781112">
        <w:rPr>
          <w:color w:val="000000" w:themeColor="text1"/>
        </w:rPr>
        <w:br/>
        <w:t xml:space="preserve">All sites designated needing "Additional Targeted Support and Improvement" (ATSI) through the ESSA Plan were included in the measure. Many low-performing sites in Oklahoma have struggled in the past two years with implementing broad improvements in the early grades, especially after the pandemic and the lower-than-typical enrollment in preschool and kindergarten. Children were not entering school with high levels of literacy, and schools struggled to raise their end of year scores to "on level." </w:t>
      </w:r>
      <w:r w:rsidRPr="00781112">
        <w:rPr>
          <w:color w:val="000000" w:themeColor="text1"/>
        </w:rPr>
        <w:br/>
      </w:r>
      <w:r w:rsidRPr="00781112">
        <w:rPr>
          <w:color w:val="000000" w:themeColor="text1"/>
        </w:rPr>
        <w:br/>
        <w:t>The state expects that scores will improve over time in part because of SSIP interventions.</w:t>
      </w:r>
    </w:p>
    <w:p w14:paraId="66E5C45A" w14:textId="77777777" w:rsidR="00AE1972" w:rsidRPr="00781112" w:rsidRDefault="00AE1972" w:rsidP="00AE1972"/>
    <w:p w14:paraId="30EFC313" w14:textId="4284CBF2" w:rsidR="005D6EB4" w:rsidRPr="00781112" w:rsidRDefault="004F3929" w:rsidP="005D6EB4">
      <w:pPr>
        <w:rPr>
          <w:b/>
          <w:bCs/>
        </w:rPr>
      </w:pPr>
      <w:r>
        <w:rPr>
          <w:b/>
          <w:bCs/>
        </w:rPr>
        <w:t>Provide the data source for the FFY 2021 data.</w:t>
      </w:r>
    </w:p>
    <w:p w14:paraId="791B79B4" w14:textId="2C5B8D5E" w:rsidR="005D6EB4" w:rsidRPr="00781112" w:rsidRDefault="005D6EB4" w:rsidP="005D6EB4">
      <w:pPr>
        <w:rPr>
          <w:color w:val="000000" w:themeColor="text1"/>
        </w:rPr>
      </w:pPr>
      <w:r w:rsidRPr="00781112">
        <w:rPr>
          <w:color w:val="000000" w:themeColor="text1"/>
        </w:rPr>
        <w:t>The data source for the SiMR is the aggregated dataset of benchmark results on pre-approved screeners that assess reading skills in grades kindergarten through third. All elementary sites submit this data annually to the SEA.</w:t>
      </w:r>
    </w:p>
    <w:p w14:paraId="17AAB1A6" w14:textId="2D1007DB" w:rsidR="00AE1972" w:rsidRPr="00781112" w:rsidRDefault="00AE1972" w:rsidP="00AE1972">
      <w:r w:rsidRPr="00781112">
        <w:rPr>
          <w:b/>
          <w:bCs/>
        </w:rPr>
        <w:t>Please describe how data are collected and analyzed for the SiMR</w:t>
      </w:r>
      <w:r w:rsidRPr="00781112">
        <w:t>.</w:t>
      </w:r>
    </w:p>
    <w:p w14:paraId="0A6DF7F0" w14:textId="29C12277" w:rsidR="00AE1972" w:rsidRPr="00781112" w:rsidRDefault="00AE1972" w:rsidP="00AE1972">
      <w:pPr>
        <w:rPr>
          <w:color w:val="000000" w:themeColor="text1"/>
        </w:rPr>
      </w:pPr>
      <w:r w:rsidRPr="00781112">
        <w:rPr>
          <w:color w:val="000000" w:themeColor="text1"/>
        </w:rPr>
        <w:t xml:space="preserve">Oklahoma Statute 70 O.S. § 1210.508C requires that each student in kindergarten through third grade is assessed at three points during the school year for a variety of critical reading skills. Screeners used by LEAs must be pre-approved by the SEA. LEAs collect reading screening results to submit to the SEA semi-annually. The datasets are processed at the end of each school year to produce an aggregated table of site-level results to monitor site improvement over time. </w:t>
      </w:r>
      <w:r w:rsidRPr="00781112">
        <w:rPr>
          <w:color w:val="000000" w:themeColor="text1"/>
        </w:rPr>
        <w:br/>
      </w:r>
      <w:r w:rsidRPr="00781112">
        <w:rPr>
          <w:color w:val="000000" w:themeColor="text1"/>
        </w:rPr>
        <w:br/>
        <w:t xml:space="preserve">The SiMR is calculated from the aggregated table of screener results. As described previously, the SiMR is calculated only using the benchmark data from elementary school sites identified as ATSI at the most recent designation. ATSI designations are made every three years using the prior three years of state ‘school report card’ results. The annual school report card measures several school indicators of quality, including assessment proficiency rates and rates of growth, chronic absenteeism, graduation, English language learner progress, and post-secondary opportunities. New designations will be made in 2023 using the data from school years 2020 through 2022. The current set of sites were identified using the prior three years of data. </w:t>
      </w:r>
      <w:r w:rsidRPr="00781112">
        <w:rPr>
          <w:color w:val="000000" w:themeColor="text1"/>
        </w:rPr>
        <w:br/>
      </w:r>
      <w:r w:rsidRPr="00781112">
        <w:rPr>
          <w:color w:val="000000" w:themeColor="text1"/>
        </w:rPr>
        <w:br/>
        <w:t>The SiMR calculation is made by identifying the number of students in grades KG through 3 at all elementary ATSI sites who a) demonstrated reading sufficiency on an approved screener at the beginning of the year or b) improved to demonstrate sufficiency (scoring “on level”) at the end of the year. That number is divided by the total number of KG to third grade students who were screened during the school year, minus those who exited the sites over the course of the year.</w:t>
      </w:r>
      <w:r w:rsidRPr="00781112">
        <w:rPr>
          <w:color w:val="000000" w:themeColor="text1"/>
        </w:rPr>
        <w:br/>
      </w:r>
      <w:r w:rsidRPr="00781112">
        <w:rPr>
          <w:color w:val="000000" w:themeColor="text1"/>
        </w:rPr>
        <w:br/>
        <w:t>Note that SiMR data for FFY 2021 reflects school year 2021-22 screener results, during which time evidence-based practices have not yet been implemented. Thus, the target for FFY 2021 remains the same as FFY 2020.</w:t>
      </w:r>
    </w:p>
    <w:p w14:paraId="37CD625E" w14:textId="77777777" w:rsidR="00AE1972" w:rsidRPr="00781112" w:rsidRDefault="00AE1972" w:rsidP="00AE1972"/>
    <w:p w14:paraId="5D43821E"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SiMR?</w:t>
      </w:r>
      <w:r w:rsidRPr="00781112">
        <w:rPr>
          <w:b/>
          <w:bCs/>
        </w:rPr>
        <w:t xml:space="preserve"> (yes/no)</w:t>
      </w:r>
      <w:r w:rsidRPr="00781112">
        <w:rPr>
          <w:rFonts w:cs="Arial"/>
          <w:b/>
          <w:bCs/>
        </w:rPr>
        <w:t xml:space="preserve">  </w:t>
      </w:r>
    </w:p>
    <w:p w14:paraId="01E3AE2A" w14:textId="671ECC26" w:rsidR="00AE1972" w:rsidRDefault="00AE1972" w:rsidP="00AE1972">
      <w:pPr>
        <w:rPr>
          <w:color w:val="000000" w:themeColor="text1"/>
        </w:rPr>
      </w:pPr>
      <w:r w:rsidRPr="00781112">
        <w:rPr>
          <w:color w:val="000000" w:themeColor="text1"/>
        </w:rPr>
        <w:t>NO</w:t>
      </w:r>
    </w:p>
    <w:p w14:paraId="2F248282" w14:textId="77777777" w:rsidR="00AE1972" w:rsidRPr="00781112" w:rsidRDefault="00AE1972" w:rsidP="00AE1972">
      <w:pPr>
        <w:rPr>
          <w:b/>
          <w:bCs/>
        </w:rPr>
      </w:pPr>
    </w:p>
    <w:p w14:paraId="26AF875A" w14:textId="77777777"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that affected progress toward the SiMR during the reporting period? </w:t>
      </w:r>
      <w:r w:rsidRPr="00781112">
        <w:rPr>
          <w:b/>
          <w:bCs/>
        </w:rPr>
        <w:t>(yes/no)</w:t>
      </w:r>
    </w:p>
    <w:p w14:paraId="36E83E2B" w14:textId="1C140CC0" w:rsidR="00AE1972" w:rsidRDefault="00AE1972" w:rsidP="00AE1972">
      <w:pPr>
        <w:spacing w:after="0"/>
        <w:rPr>
          <w:color w:val="000000" w:themeColor="text1"/>
        </w:rPr>
      </w:pPr>
      <w:r w:rsidRPr="00781112">
        <w:rPr>
          <w:color w:val="000000" w:themeColor="text1"/>
        </w:rPr>
        <w:t>NO</w:t>
      </w:r>
    </w:p>
    <w:p w14:paraId="30214B92" w14:textId="77777777" w:rsidR="00AE1972" w:rsidRPr="00781112" w:rsidRDefault="00AE1972" w:rsidP="00AE1972">
      <w:pPr>
        <w:rPr>
          <w:b/>
          <w:bCs/>
        </w:rPr>
      </w:pPr>
    </w:p>
    <w:p w14:paraId="085CF862"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71B180FE" w14:textId="5A61759D" w:rsidR="00AE1972" w:rsidRDefault="00AE1972" w:rsidP="00AE1972">
      <w:pPr>
        <w:rPr>
          <w:color w:val="000000" w:themeColor="text1"/>
        </w:rPr>
      </w:pPr>
      <w:r w:rsidRPr="00781112">
        <w:rPr>
          <w:color w:val="000000" w:themeColor="text1"/>
        </w:rPr>
        <w:t>NO</w:t>
      </w:r>
    </w:p>
    <w:p w14:paraId="1CD7E2E2" w14:textId="77777777" w:rsidR="00AE1972" w:rsidRPr="00781112" w:rsidRDefault="00AE1972" w:rsidP="00AE1972">
      <w:pPr>
        <w:rPr>
          <w:b/>
          <w:bCs/>
        </w:rPr>
      </w:pPr>
    </w:p>
    <w:p w14:paraId="2127B612" w14:textId="77777777" w:rsidR="00AE1972" w:rsidRPr="00074B33" w:rsidRDefault="00AE1972" w:rsidP="00074B33">
      <w:pPr>
        <w:rPr>
          <w:b/>
          <w:bCs/>
        </w:rPr>
      </w:pPr>
      <w:r w:rsidRPr="00074B33">
        <w:rPr>
          <w:b/>
          <w:bCs/>
        </w:rPr>
        <w:t>Section B: Implementation, Analysis and Evaluation</w:t>
      </w:r>
    </w:p>
    <w:p w14:paraId="08E78A8E" w14:textId="77777777" w:rsidR="00E84BDF" w:rsidRPr="00E84BDF" w:rsidRDefault="00E84BDF" w:rsidP="00E84BDF">
      <w:pPr>
        <w:rPr>
          <w:rFonts w:cs="Arial"/>
          <w:b/>
          <w:bCs/>
        </w:rPr>
      </w:pPr>
      <w:r w:rsidRPr="00E84BDF">
        <w:rPr>
          <w:rFonts w:cs="Arial"/>
          <w:b/>
          <w:bCs/>
        </w:rPr>
        <w:t>Please provide a link to the State’s current evaluation plan.</w:t>
      </w:r>
    </w:p>
    <w:p w14:paraId="0A6517E8" w14:textId="77777777" w:rsidR="00E84BDF" w:rsidRDefault="00E84BDF" w:rsidP="00E84BDF">
      <w:pPr>
        <w:rPr>
          <w:color w:val="000000" w:themeColor="text1"/>
        </w:rPr>
      </w:pPr>
      <w:r w:rsidRPr="00781112">
        <w:rPr>
          <w:color w:val="000000" w:themeColor="text1"/>
        </w:rPr>
        <w:t>https://sde.ok.gov/sites/default/files/Evaluation%20Plan%20SSIP%20-Bpdf.pdf</w:t>
      </w:r>
    </w:p>
    <w:p w14:paraId="0B808C56" w14:textId="786EB067" w:rsidR="00AE1972" w:rsidRPr="00781112" w:rsidRDefault="00E84BDF" w:rsidP="00AE1972">
      <w:pPr>
        <w:rPr>
          <w:rFonts w:cs="Arial"/>
          <w:b/>
          <w:bCs/>
        </w:rPr>
      </w:pPr>
      <w:r w:rsidRPr="00E84BDF">
        <w:rPr>
          <w:rFonts w:cs="Arial"/>
          <w:b/>
          <w:bCs/>
        </w:rPr>
        <w:t xml:space="preserve">Is the State’s evaluation plan new or revised since the previous submission? </w:t>
      </w:r>
      <w:r w:rsidR="00AE1972" w:rsidRPr="00781112">
        <w:rPr>
          <w:b/>
          <w:bCs/>
        </w:rPr>
        <w:t>(yes/no)</w:t>
      </w:r>
    </w:p>
    <w:p w14:paraId="5D9470C5" w14:textId="1F552EB5" w:rsidR="00AE1972" w:rsidRDefault="00AE1972" w:rsidP="00AE1972">
      <w:pPr>
        <w:rPr>
          <w:color w:val="000000" w:themeColor="text1"/>
        </w:rPr>
      </w:pPr>
      <w:r w:rsidRPr="00781112">
        <w:rPr>
          <w:color w:val="000000" w:themeColor="text1"/>
        </w:rPr>
        <w:t>YES</w:t>
      </w:r>
    </w:p>
    <w:p w14:paraId="23351010" w14:textId="4110A7DC" w:rsidR="00A7143A" w:rsidRDefault="00A7143A" w:rsidP="00A7143A">
      <w:pPr>
        <w:rPr>
          <w:rFonts w:cs="Arial"/>
          <w:b/>
          <w:bCs/>
        </w:rPr>
      </w:pPr>
      <w:r w:rsidRPr="00A7143A">
        <w:rPr>
          <w:rFonts w:cs="Arial"/>
          <w:b/>
          <w:bCs/>
        </w:rPr>
        <w:t>If yes, provide a description of the changes and updates to the evaluation plan.</w:t>
      </w:r>
    </w:p>
    <w:p w14:paraId="52FD489D" w14:textId="77777777" w:rsidR="00E84BDF" w:rsidRDefault="00E84BDF" w:rsidP="00E84BDF">
      <w:pPr>
        <w:rPr>
          <w:color w:val="000000" w:themeColor="text1"/>
        </w:rPr>
      </w:pPr>
      <w:r w:rsidRPr="00781112">
        <w:rPr>
          <w:color w:val="000000" w:themeColor="text1"/>
        </w:rPr>
        <w:t>The previous submission did not include the evaluation plan for each component of the project. The updated evaluation plan includes all infrastructural and implementation components.</w:t>
      </w:r>
      <w:r w:rsidRPr="00781112">
        <w:rPr>
          <w:color w:val="000000" w:themeColor="text1"/>
        </w:rPr>
        <w:br/>
        <w:t>Infrastructure Goal 1: The Oklahoma State Department of Education (OSDE) will institute and maintain a state leadership structure to support the adoption of a multi-tiered system of support (MTSS) framework to address literacy challenges.</w:t>
      </w:r>
      <w:r w:rsidRPr="00781112">
        <w:rPr>
          <w:color w:val="000000" w:themeColor="text1"/>
        </w:rPr>
        <w:br/>
        <w:t>Strategy 1: Establish agency leadership structure to support the SSIP.</w:t>
      </w:r>
      <w:r w:rsidRPr="00781112">
        <w:rPr>
          <w:color w:val="000000" w:themeColor="text1"/>
        </w:rPr>
        <w:br/>
        <w:t>Strategy 2: Establish multi-tiered system of support.</w:t>
      </w:r>
      <w:r w:rsidRPr="00781112">
        <w:rPr>
          <w:color w:val="000000" w:themeColor="text1"/>
        </w:rPr>
        <w:br/>
      </w:r>
      <w:r w:rsidRPr="00781112">
        <w:rPr>
          <w:color w:val="000000" w:themeColor="text1"/>
        </w:rPr>
        <w:br/>
        <w:t>Infrastructure Goal 2: The OSDE will provide access to and continued monitoring of resources, professional development, and coaching of evidence-based practices, with increased support at tiered levels, to provide opportunities to develop high quality school site teams in grades K-3 that consistently implement evidence-based practices that support early literacy strategies.</w:t>
      </w:r>
      <w:r w:rsidRPr="00781112">
        <w:rPr>
          <w:color w:val="000000" w:themeColor="text1"/>
        </w:rPr>
        <w:br/>
        <w:t>Strategy 1: Create and distribute high quality resources supporting evidence-based instructional strategies relating to K-3 early literacy outcomes and success.</w:t>
      </w:r>
      <w:r w:rsidRPr="00781112">
        <w:rPr>
          <w:color w:val="000000" w:themeColor="text1"/>
        </w:rPr>
        <w:br/>
        <w:t>Strategy 2: Create and distribute high quality professional development modules identifying and utilizing evidence-based instructional strategies relating to K-3 early literacy outcomes and success.</w:t>
      </w:r>
      <w:r w:rsidRPr="00781112">
        <w:rPr>
          <w:color w:val="000000" w:themeColor="text1"/>
        </w:rPr>
        <w:br/>
        <w:t>Strategy 3: Build infrastructure to provide high quality instructional coaching for educators at selected schools (application dependent) to further support evidence-based instructional strategies relating to K-3 early literacy outcomes and success.</w:t>
      </w:r>
      <w:r w:rsidRPr="00781112">
        <w:rPr>
          <w:color w:val="000000" w:themeColor="text1"/>
        </w:rPr>
        <w:br/>
      </w:r>
      <w:r w:rsidRPr="00781112">
        <w:rPr>
          <w:color w:val="000000" w:themeColor="text1"/>
        </w:rPr>
        <w:br/>
        <w:t>Implementation Goal 1: The OSDE will provide access to and continued monitoring of resources, professional development, and coaching of evidence-based practices, with increased support at tiered levels, to provide opportunities to develop high quality school site teams in grades K-3 that consistently implement evidence-based practices that support early literacy strategies.</w:t>
      </w:r>
      <w:r w:rsidRPr="00781112">
        <w:rPr>
          <w:color w:val="000000" w:themeColor="text1"/>
        </w:rPr>
        <w:br/>
        <w:t>Strategy 1: Implement effective instructional practices to support K-3 site teams instructional change leading to improved student outcomes.</w:t>
      </w:r>
      <w:r w:rsidRPr="00781112">
        <w:rPr>
          <w:color w:val="000000" w:themeColor="text1"/>
        </w:rPr>
        <w:br/>
      </w:r>
      <w:r w:rsidRPr="00781112">
        <w:rPr>
          <w:color w:val="000000" w:themeColor="text1"/>
        </w:rPr>
        <w:br/>
        <w:t>Each aspect of the evaluation plan has been further developed with detailed, measurable, and time sensitive short-term, medium-term, and long-term outcomes. There are two overarching infrastructural goals, each with strategies, and one implementation goal with one strategy. Within each of these strategies, there are several activities/actions that support the ultimate outcomes. Further details regarding these changes are available on the link provided above, and details regarding achieved outcomes are in a subsequent section.</w:t>
      </w:r>
    </w:p>
    <w:p w14:paraId="5D0F0ACE" w14:textId="3C2EB3BA" w:rsidR="00E84BDF" w:rsidRPr="00781112" w:rsidRDefault="00E84BDF" w:rsidP="00E84BDF">
      <w:pPr>
        <w:rPr>
          <w:rFonts w:cs="Arial"/>
          <w:b/>
          <w:bCs/>
        </w:rPr>
      </w:pPr>
      <w:r>
        <w:rPr>
          <w:rFonts w:cs="Arial"/>
          <w:b/>
          <w:bCs/>
        </w:rPr>
        <w:t>If yes, describe a rationale or justification for the changes to the SSIP evaluation plan.</w:t>
      </w:r>
    </w:p>
    <w:p w14:paraId="251E6325" w14:textId="77777777" w:rsidR="00E84BDF" w:rsidRPr="00781112" w:rsidRDefault="00E84BDF" w:rsidP="00E84BDF">
      <w:pPr>
        <w:rPr>
          <w:b/>
          <w:bCs/>
        </w:rPr>
      </w:pPr>
      <w:r w:rsidRPr="00781112">
        <w:rPr>
          <w:color w:val="000000" w:themeColor="text1"/>
        </w:rPr>
        <w:t xml:space="preserve">The changes made to the SSIP evaluation plan focus on the expansion of the project. Each of the outcomes aligns with previously reported intentions. </w:t>
      </w:r>
    </w:p>
    <w:p w14:paraId="19DFF8CC" w14:textId="77777777" w:rsidR="00AE1972" w:rsidRPr="00781112" w:rsidRDefault="00AE1972" w:rsidP="00AE1972">
      <w:pPr>
        <w:rPr>
          <w:rFonts w:cs="Arial"/>
          <w:b/>
          <w:bCs/>
        </w:rPr>
      </w:pPr>
    </w:p>
    <w:p w14:paraId="405861A2" w14:textId="55A85451"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19A64E2F" w14:textId="09FED9B3" w:rsidR="00AE1972" w:rsidRPr="00781112" w:rsidRDefault="00AE1972" w:rsidP="00AE1972">
      <w:pPr>
        <w:rPr>
          <w:b/>
          <w:bCs/>
        </w:rPr>
      </w:pPr>
      <w:r w:rsidRPr="00781112">
        <w:rPr>
          <w:color w:val="000000" w:themeColor="text1"/>
        </w:rPr>
        <w:t xml:space="preserve">The focus for this year has been to develop the infrastructure and begin implementation of the strategies. The entire framework has been built and the pilot year of implementation has begun. The next phase will continue implementing all components of the project. The improvement strategies implemented in FFY2021 are listed as the evaluation plan updates described in the prior section as well as those that follow. The specific activities and goals achieved are described in the next sections.  </w:t>
      </w:r>
    </w:p>
    <w:p w14:paraId="1C121BBF" w14:textId="77777777" w:rsidR="00AE1972" w:rsidRPr="00781112" w:rsidRDefault="00AE1972" w:rsidP="00AE1972">
      <w:pPr>
        <w:rPr>
          <w:rFonts w:cs="Arial"/>
          <w:b/>
          <w:bCs/>
        </w:rPr>
      </w:pPr>
    </w:p>
    <w:p w14:paraId="2116126D" w14:textId="03C97716" w:rsidR="00AB11F1" w:rsidRPr="00781112" w:rsidRDefault="00AB11F1" w:rsidP="00AE1972">
      <w:pPr>
        <w:rPr>
          <w:rFonts w:cs="Arial"/>
          <w:b/>
          <w:bCs/>
        </w:rPr>
      </w:pPr>
      <w:r w:rsidRPr="00AB11F1">
        <w:rPr>
          <w:rFonts w:cs="Arial"/>
          <w:b/>
          <w:bCs/>
        </w:rPr>
        <w:t>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w:t>
      </w:r>
    </w:p>
    <w:p w14:paraId="29CD7E16" w14:textId="62EA3FF0" w:rsidR="00AE1972" w:rsidRPr="00781112" w:rsidRDefault="00AE1972" w:rsidP="00AE1972">
      <w:pPr>
        <w:rPr>
          <w:b/>
          <w:bCs/>
        </w:rPr>
      </w:pPr>
      <w:r w:rsidRPr="00781112">
        <w:rPr>
          <w:color w:val="000000" w:themeColor="text1"/>
        </w:rPr>
        <w:t xml:space="preserve">The first goal and associated two strategies have been continuously maintained since the last report. These governance-oriented elements are necessary for all three over-arching goals: achievement of the SiMR,the sustainability of the system, and project scale-up over time. Slight adjustments to previously -reported practices have been implemented to support sustainability. </w:t>
      </w:r>
      <w:r w:rsidRPr="00781112">
        <w:rPr>
          <w:color w:val="000000" w:themeColor="text1"/>
        </w:rPr>
        <w:br/>
      </w:r>
      <w:r w:rsidRPr="00781112">
        <w:rPr>
          <w:color w:val="000000" w:themeColor="text1"/>
        </w:rPr>
        <w:br/>
        <w:t>Goal 1: Strategy 1: Establish agency leadership structure to support the SSIP.</w:t>
      </w:r>
      <w:r w:rsidRPr="00781112">
        <w:rPr>
          <w:color w:val="000000" w:themeColor="text1"/>
        </w:rPr>
        <w:br/>
      </w:r>
      <w:r w:rsidRPr="00781112">
        <w:rPr>
          <w:color w:val="000000" w:themeColor="text1"/>
        </w:rPr>
        <w:br/>
        <w:t>Activity: Establish the SSIP State Leadership Team (SLT) to design the program, collaborate with partners, develop policies and procedures, secure funding and allocate resources for the implementation of the SSIP.</w:t>
      </w:r>
      <w:r w:rsidRPr="00781112">
        <w:rPr>
          <w:color w:val="000000" w:themeColor="text1"/>
        </w:rPr>
        <w:br/>
        <w:t xml:space="preserve">Outcome 1.1 SLT meets monthly to consider program progress (governance). Achieved. SLT has met monthly with a focused agenda. </w:t>
      </w:r>
      <w:r w:rsidRPr="00781112">
        <w:rPr>
          <w:color w:val="000000" w:themeColor="text1"/>
        </w:rPr>
        <w:br/>
        <w:t>Outcome 1.2 Stakeholders are regularly consulted on program definition and implementation. Processes and procedures are written to share with stakeholders, partners, and participating districts (governance). Achieved. All processes and procedures have been shared with stakeholders, partners, and participating districts as required. Information can be accessed via SSIP website.</w:t>
      </w:r>
      <w:r w:rsidRPr="00781112">
        <w:rPr>
          <w:color w:val="000000" w:themeColor="text1"/>
        </w:rPr>
        <w:br/>
        <w:t xml:space="preserve">Outcome 1.3 Initial funding is allocated to support startup activities for the SSIP, including staff support (finance). Achieved. </w:t>
      </w:r>
      <w:r w:rsidRPr="00781112">
        <w:rPr>
          <w:color w:val="000000" w:themeColor="text1"/>
        </w:rPr>
        <w:br/>
        <w:t>Outcome 1.4 The annual budget includes dedicated funding for SSIP activities (finance). Achieved. Initial funding has been secured, additional funding for school reimbursement for substitutes/travel has been approved, and scale-up funding has been considered.</w:t>
      </w:r>
      <w:r w:rsidRPr="00781112">
        <w:rPr>
          <w:color w:val="000000" w:themeColor="text1"/>
        </w:rPr>
        <w:br/>
      </w:r>
      <w:r w:rsidRPr="00781112">
        <w:rPr>
          <w:color w:val="000000" w:themeColor="text1"/>
        </w:rPr>
        <w:br/>
        <w:t>Activity: Participate in and contribute to collaborative efforts to secure MTSS as a viable framework for school support and student improvement. Allocate resources to the long-term implementation of the SSIP.</w:t>
      </w:r>
      <w:r w:rsidRPr="00781112">
        <w:rPr>
          <w:color w:val="000000" w:themeColor="text1"/>
        </w:rPr>
        <w:br/>
        <w:t xml:space="preserve">Outcome 2.1 SSIP staff are engaged with the agency’s collaborative efforts to promote MTSS statewide (governance). Achieved. The SSIP staff have worked alongside State Personnel Development Grant (SPDG) and agency MTSS efforts. </w:t>
      </w:r>
      <w:r w:rsidRPr="00781112">
        <w:rPr>
          <w:color w:val="000000" w:themeColor="text1"/>
        </w:rPr>
        <w:br/>
        <w:t>Outcome 2.2 State program leaders demonstrate annual commitment to continuing the SSIP programs (accountability/monitoring). Achieved by continuing to collaborate with external and federal support regarding SSIP Part-B.</w:t>
      </w:r>
      <w:r w:rsidRPr="00781112">
        <w:rPr>
          <w:color w:val="000000" w:themeColor="text1"/>
        </w:rPr>
        <w:br/>
        <w:t>Outcome 2.3 MTSS is promoted and instituted agency wide as a viable framework for site support (governance). Partially achieved. The MTSS leadership team at the state level is working to formalize team activities and actions into standard operating procedures for consensus management and to ensure team sustainability due to staff turnover.</w:t>
      </w:r>
      <w:r w:rsidRPr="00781112">
        <w:rPr>
          <w:color w:val="000000" w:themeColor="text1"/>
        </w:rPr>
        <w:br/>
      </w:r>
      <w:r w:rsidRPr="00781112">
        <w:rPr>
          <w:color w:val="000000" w:themeColor="text1"/>
        </w:rPr>
        <w:br/>
        <w:t>Activity: Coordinate SSIP and MTSS designations in their efforts for systemic change.</w:t>
      </w:r>
      <w:r w:rsidRPr="00781112">
        <w:rPr>
          <w:color w:val="000000" w:themeColor="text1"/>
        </w:rPr>
        <w:br/>
        <w:t>Outcome 3.1 The state infrastructure is effective for supporting the SSIP and long-term programmatic change (governance). Partially achieved. As described in the section below discussing challenges and barriers, designation for the selected demographic has posed a challenge for the full completion of this outcome.</w:t>
      </w:r>
      <w:r w:rsidRPr="00781112">
        <w:rPr>
          <w:color w:val="000000" w:themeColor="text1"/>
        </w:rPr>
        <w:br/>
        <w:t>Outcome 3.2 The SLT incorporates and uses quality feedback mechanisms from staff and districts (data). Achieved. Surveys have indicated the project has been successful and offer opportunities for stakeholders to voice needs for change.</w:t>
      </w:r>
      <w:r w:rsidRPr="00781112">
        <w:rPr>
          <w:color w:val="000000" w:themeColor="text1"/>
        </w:rPr>
        <w:br/>
        <w:t xml:space="preserve">Outcome 3.3 Participating districts and state support personnel understand and adhere to program processes and procedures (governance). Achieved. The application indicates clear processes and procedures and have been provided to districts. </w:t>
      </w:r>
      <w:r w:rsidRPr="00781112">
        <w:rPr>
          <w:color w:val="000000" w:themeColor="text1"/>
        </w:rPr>
        <w:br/>
        <w:t xml:space="preserve">Outcome 3.4 Staff are accountable to maintaining program expectations (accountability/monitoring). Achieved. Deadlines have been met, outcomes achieved, and collaboration continues as a continuous check for adherence. </w:t>
      </w:r>
      <w:r w:rsidRPr="00781112">
        <w:rPr>
          <w:color w:val="000000" w:themeColor="text1"/>
        </w:rPr>
        <w:br/>
        <w:t xml:space="preserve">Outcome 3.5 Processes and procedures are reviewed annually, and relevant updates are made (governance). Achieved. The revision process has begun collaborating with SPDG to support relevant updates and alignment. </w:t>
      </w:r>
      <w:r w:rsidRPr="00781112">
        <w:rPr>
          <w:color w:val="000000" w:themeColor="text1"/>
        </w:rPr>
        <w:br/>
        <w:t>Outcome 3.6 The leadership team annually conducts a self-assessment to determine status relative to sustainability (data). Not achieved. The self-assessment process will begin in May 2023 at the conclusion of the pilot year.</w:t>
      </w:r>
      <w:r w:rsidRPr="00781112">
        <w:rPr>
          <w:color w:val="000000" w:themeColor="text1"/>
        </w:rPr>
        <w:br/>
      </w:r>
      <w:r w:rsidRPr="00781112">
        <w:rPr>
          <w:color w:val="000000" w:themeColor="text1"/>
        </w:rPr>
        <w:br/>
        <w:t>Goal 1: Strategy 2: Establish a multi-tiered system of support</w:t>
      </w:r>
      <w:r w:rsidRPr="00781112">
        <w:rPr>
          <w:color w:val="000000" w:themeColor="text1"/>
        </w:rPr>
        <w:br/>
      </w:r>
      <w:r w:rsidRPr="00781112">
        <w:rPr>
          <w:color w:val="000000" w:themeColor="text1"/>
        </w:rPr>
        <w:br/>
        <w:t>Activity: Define the tiered support framework with three levels of support.</w:t>
      </w:r>
      <w:r w:rsidRPr="00781112">
        <w:rPr>
          <w:color w:val="000000" w:themeColor="text1"/>
        </w:rPr>
        <w:br/>
        <w:t xml:space="preserve">Outcome 1.1 Three levels of support have been articulated with specific interventions and support activities (governance). Achieved. The SSIP website describes the levels of support with provided interventions and activities. </w:t>
      </w:r>
      <w:r w:rsidRPr="00781112">
        <w:rPr>
          <w:color w:val="000000" w:themeColor="text1"/>
        </w:rPr>
        <w:br/>
        <w:t xml:space="preserve">Outcome 1.2 An application process has been developed to select sites to be provided tier three intervention (governance). Achieved. An application has been developed but the timeline for dissemination has not been solidified. </w:t>
      </w:r>
      <w:r w:rsidRPr="00781112">
        <w:rPr>
          <w:color w:val="000000" w:themeColor="text1"/>
        </w:rPr>
        <w:br/>
        <w:t xml:space="preserve">Outcome 1.3 Mechanisms have been developed to monitor who is using universal (tier one) resources and supports, which are available to all districts in Oklahoma (data). Achieved. The platform allows for limited usage data to be collected and the use of a quarterly survey supports the feedback regarding usage and relevance. </w:t>
      </w:r>
      <w:r w:rsidRPr="00781112">
        <w:rPr>
          <w:color w:val="000000" w:themeColor="text1"/>
        </w:rPr>
        <w:br/>
        <w:t>Outcome 1.4 Mechanisms have been developed to monitor which sites are using targeted (tier two) resources and interventions, which will be made available to ATSI sites in Oklahoma (accountability/monitoring). Achieved. Following an application, data collection regarding site participation has been collected monthly and a cohesive partnership with frequent conversations has been developed.</w:t>
      </w:r>
      <w:r w:rsidRPr="00781112">
        <w:rPr>
          <w:color w:val="000000" w:themeColor="text1"/>
        </w:rPr>
        <w:br/>
        <w:t>Outcome 1.5 The tiered framework is sustainable (measure TBD) (governance). Not achieved. As the pilot year is still continuing, it is difficult at this point to determine the measure of sustainability until after the conclusion of the pilot year.</w:t>
      </w:r>
      <w:r w:rsidRPr="00781112">
        <w:rPr>
          <w:color w:val="000000" w:themeColor="text1"/>
        </w:rPr>
        <w:br/>
        <w:t>Outcome 1.6 State program leaders demonstrate sustained commitment to the implementation of the tiered framework (governance). Achieved. Collaboration with agencies has continued to sustain commitment to the project.</w:t>
      </w:r>
      <w:r w:rsidRPr="00781112">
        <w:rPr>
          <w:color w:val="000000" w:themeColor="text1"/>
        </w:rPr>
        <w:br/>
      </w:r>
      <w:r w:rsidRPr="00781112">
        <w:rPr>
          <w:color w:val="000000" w:themeColor="text1"/>
        </w:rPr>
        <w:br/>
        <w:t>Activity: Assign support activities and evidence-based practices to each level of support.</w:t>
      </w:r>
      <w:r w:rsidRPr="00781112">
        <w:rPr>
          <w:color w:val="000000" w:themeColor="text1"/>
        </w:rPr>
        <w:br/>
        <w:t>Outcome 2.1 High quality evidence-based practices have been selected with input from stakeholders (professional development/technical assistance). Achieved. Stakeholders provided input regarding scope and sequence and instructional coaching supports desired need.</w:t>
      </w:r>
      <w:r w:rsidRPr="00781112">
        <w:rPr>
          <w:color w:val="000000" w:themeColor="text1"/>
        </w:rPr>
        <w:br/>
        <w:t>Outcome 2.2 The framework meets generally accepted measures of quality for MTSS to improve academic outcomes (governance). Achieved. Considerations for evidence-based practices provided in each level of support is determined through data collection, school advocacy, and written procedures of school risk to ensure that the framework of MTSS is best used as the tiered delivery model.</w:t>
      </w:r>
      <w:r w:rsidRPr="00781112">
        <w:rPr>
          <w:color w:val="000000" w:themeColor="text1"/>
        </w:rPr>
        <w:br/>
      </w:r>
      <w:r w:rsidRPr="00781112">
        <w:rPr>
          <w:color w:val="000000" w:themeColor="text1"/>
        </w:rPr>
        <w:br/>
        <w:t>Activity: Develop a feedback mechanism to monitor the quality of the framework and its implementation successes and challenges. Establish regular stakeholder outreach for program design and implementation.</w:t>
      </w:r>
      <w:r w:rsidRPr="00781112">
        <w:rPr>
          <w:color w:val="000000" w:themeColor="text1"/>
        </w:rPr>
        <w:br/>
        <w:t>Outcome 3.1 Feedback mechanisms exist to refine processes, procedures, and interventions over time (governance). Partially achieved. As this is the pilot year, the feedback mechanisms exist but the usage is limited to the current participation pool.</w:t>
      </w:r>
      <w:r w:rsidRPr="00781112">
        <w:rPr>
          <w:color w:val="000000" w:themeColor="text1"/>
        </w:rPr>
        <w:br/>
      </w:r>
      <w:r w:rsidRPr="00781112">
        <w:rPr>
          <w:color w:val="000000" w:themeColor="text1"/>
        </w:rPr>
        <w:br/>
        <w:t xml:space="preserve">The SSIP website contains an info-graphic describing relevant goal information and achievements of the program. As the project progresses to full implementation, the info-graphic will include additional information relevant to the full scope of the project. </w:t>
      </w:r>
    </w:p>
    <w:p w14:paraId="4B6ADDE5" w14:textId="77777777" w:rsidR="00AE1972" w:rsidRPr="00781112" w:rsidRDefault="00AE1972" w:rsidP="00AE1972">
      <w:pPr>
        <w:rPr>
          <w:rFonts w:cs="Arial"/>
          <w:b/>
          <w:bCs/>
        </w:rPr>
      </w:pPr>
    </w:p>
    <w:p w14:paraId="5DCF741B"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7AA60872" w14:textId="7A06C54C" w:rsidR="00AE1972" w:rsidRDefault="00AE1972" w:rsidP="00AE1972">
      <w:pPr>
        <w:rPr>
          <w:color w:val="000000" w:themeColor="text1"/>
        </w:rPr>
      </w:pPr>
      <w:r w:rsidRPr="00781112">
        <w:rPr>
          <w:color w:val="000000" w:themeColor="text1"/>
        </w:rPr>
        <w:t>YES</w:t>
      </w:r>
    </w:p>
    <w:p w14:paraId="4E9EF90C" w14:textId="3F5C36A0" w:rsidR="00AE1972" w:rsidRPr="00781112" w:rsidRDefault="003E05D8" w:rsidP="00AE1972">
      <w:pPr>
        <w:rPr>
          <w:rFonts w:cs="Arial"/>
          <w:b/>
          <w:bCs/>
          <w:i/>
          <w:iCs/>
        </w:rPr>
      </w:pPr>
      <w:r w:rsidRPr="00781112">
        <w:rPr>
          <w:rFonts w:cs="Arial"/>
          <w:b/>
          <w:bCs/>
        </w:rPr>
        <w:t xml:space="preserve">Describe each </w:t>
      </w:r>
      <w:r w:rsidR="00AE1972" w:rsidRPr="00781112">
        <w:rPr>
          <w:rFonts w:cs="Arial"/>
          <w:b/>
          <w:bCs/>
          <w:u w:val="single"/>
        </w:rPr>
        <w:t>new</w:t>
      </w:r>
      <w:r w:rsidR="00AE1972" w:rsidRPr="00781112">
        <w:rPr>
          <w:rFonts w:cs="Arial"/>
          <w:b/>
          <w:bCs/>
        </w:rPr>
        <w:t xml:space="preserve"> (newly identified) infrastructure improvement strategy and the short-term or intermediate outcomes achieved</w:t>
      </w:r>
      <w:r w:rsidR="00AE1972" w:rsidRPr="00781112">
        <w:rPr>
          <w:rFonts w:cs="Arial"/>
          <w:b/>
          <w:bCs/>
          <w:i/>
          <w:iCs/>
        </w:rPr>
        <w:t xml:space="preserve">. </w:t>
      </w:r>
    </w:p>
    <w:p w14:paraId="43C5101C" w14:textId="614E9D0F" w:rsidR="00AE1972" w:rsidRDefault="00AE1972" w:rsidP="00AE1972">
      <w:pPr>
        <w:rPr>
          <w:color w:val="000000" w:themeColor="text1"/>
        </w:rPr>
      </w:pPr>
      <w:r w:rsidRPr="00781112">
        <w:rPr>
          <w:color w:val="000000" w:themeColor="text1"/>
        </w:rPr>
        <w:t>Goal 2: The Oklahoma State Department of Education will provide access to and continued monitoring of resources, professional development, and coaching of evidence-based practices, with increased support at tiered levels, to provide opportunities to develop high quality school site teams in grades K-3 that consistently implement evidence-based practices that support early literacy strategies.</w:t>
      </w:r>
      <w:r w:rsidRPr="00781112">
        <w:rPr>
          <w:color w:val="000000" w:themeColor="text1"/>
        </w:rPr>
        <w:br/>
      </w:r>
      <w:r w:rsidRPr="00781112">
        <w:rPr>
          <w:color w:val="000000" w:themeColor="text1"/>
        </w:rPr>
        <w:br/>
        <w:t>Strategy 1: Create and distribute high quality resources supporting evidence-based instructional strategies relating to K-3 early literacy outcomes and success.</w:t>
      </w:r>
      <w:r w:rsidRPr="00781112">
        <w:rPr>
          <w:color w:val="000000" w:themeColor="text1"/>
        </w:rPr>
        <w:br/>
      </w:r>
      <w:r w:rsidRPr="00781112">
        <w:rPr>
          <w:color w:val="000000" w:themeColor="text1"/>
        </w:rPr>
        <w:br/>
        <w:t>Activity : Participate on an inter-agency MTSS Leadership team and collaborate with members to develop, collate, and create an accessible online library of resources supporting evidence-based instructional strategies.</w:t>
      </w:r>
      <w:r w:rsidRPr="00781112">
        <w:rPr>
          <w:color w:val="000000" w:themeColor="text1"/>
        </w:rPr>
        <w:br/>
        <w:t>Outcome 1.1 Collaboration with the MTSS Leadership team will consist of check-ins at least four times a year (governance). Achieved. SLT has attended all meetings, over four times per year, with continued participation for the upcoming year.</w:t>
      </w:r>
      <w:r w:rsidRPr="00781112">
        <w:rPr>
          <w:color w:val="000000" w:themeColor="text1"/>
        </w:rPr>
        <w:br/>
        <w:t xml:space="preserve">Outcome 1.2 Sustainable inter-agency teaming continues, replacing and adding members to continue the collaboration (governance). Achieved. MTSS leadership team is refocusing for the new year, to replace staff turnover in the agency. </w:t>
      </w:r>
      <w:r w:rsidRPr="00781112">
        <w:rPr>
          <w:color w:val="000000" w:themeColor="text1"/>
        </w:rPr>
        <w:br/>
        <w:t>Outcome 1.3 Continued agency alignment regarding MTSS implementation (governance). Not achieved. The team is refocusing based on the self-assessment for the outcomes of the team.</w:t>
      </w:r>
      <w:r w:rsidRPr="00781112">
        <w:rPr>
          <w:color w:val="000000" w:themeColor="text1"/>
        </w:rPr>
        <w:br/>
      </w:r>
      <w:r w:rsidRPr="00781112">
        <w:rPr>
          <w:color w:val="000000" w:themeColor="text1"/>
        </w:rPr>
        <w:br/>
        <w:t>Activity: Design and collect data usage tools to determine effectiveness and usage.</w:t>
      </w:r>
      <w:r w:rsidRPr="00781112">
        <w:rPr>
          <w:color w:val="000000" w:themeColor="text1"/>
        </w:rPr>
        <w:br/>
        <w:t>Outcome 2.1 Data collection methods of usage are developed and collected annually (data). Achieved. Data methods are developed, and procedures are described.</w:t>
      </w:r>
      <w:r w:rsidRPr="00781112">
        <w:rPr>
          <w:color w:val="000000" w:themeColor="text1"/>
        </w:rPr>
        <w:br/>
        <w:t>Outcome 2.2 Continue data collection regarding material quality (data). Achieved. All materials fall into one of the identified categories and meet the needs of the category description.</w:t>
      </w:r>
      <w:r w:rsidRPr="00781112">
        <w:rPr>
          <w:color w:val="000000" w:themeColor="text1"/>
        </w:rPr>
        <w:br/>
      </w:r>
      <w:r w:rsidRPr="00781112">
        <w:rPr>
          <w:color w:val="000000" w:themeColor="text1"/>
        </w:rPr>
        <w:br/>
        <w:t>Activity: Create and maintain online platform to house evidence-based resources.</w:t>
      </w:r>
      <w:r w:rsidRPr="00781112">
        <w:rPr>
          <w:color w:val="000000" w:themeColor="text1"/>
        </w:rPr>
        <w:br/>
        <w:t>Outcome 3.1 Online platform will be live and accessible to schools (professional development). Achieved. The platform is located on the state agency platform and linked to the SSIP website.</w:t>
      </w:r>
      <w:r w:rsidRPr="00781112">
        <w:rPr>
          <w:color w:val="000000" w:themeColor="text1"/>
        </w:rPr>
        <w:br/>
        <w:t>Outcome 3.2 Continued addition and revision of materials to ensure that relevant, used, and high-quality materials are placed on the platform (technical assistance). Partially achieved. SPDG and the Office of Special Education has reviewed the materials placed on the platform, but further collaboration is necessary to achieve the outcome.</w:t>
      </w:r>
      <w:r w:rsidRPr="00781112">
        <w:rPr>
          <w:color w:val="000000" w:themeColor="text1"/>
        </w:rPr>
        <w:br/>
      </w:r>
      <w:r w:rsidRPr="00781112">
        <w:rPr>
          <w:color w:val="000000" w:themeColor="text1"/>
        </w:rPr>
        <w:br/>
        <w:t>Activity: Create and/or collate high quality resources to support MTSS and early literacy strategies categorized by topic.</w:t>
      </w:r>
      <w:r w:rsidRPr="00781112">
        <w:rPr>
          <w:color w:val="000000" w:themeColor="text1"/>
        </w:rPr>
        <w:br/>
        <w:t xml:space="preserve">Outcome 4.1 High quality materials are provided on the platform categorized for ease of use (technical assistance). Partially achieved. The platform is currently organized but the continuous addition of materials will require an additional level of organization. </w:t>
      </w:r>
      <w:r w:rsidRPr="00781112">
        <w:rPr>
          <w:color w:val="000000" w:themeColor="text1"/>
        </w:rPr>
        <w:br/>
        <w:t xml:space="preserve">Outcome 4.2 Definitions of the categories in which materials will be categorized are provided and responsive to school needs (technical assistance). Not achieved. The definitions of these materials are developed by the MTSS leadership team which is undergoing professional refocus. </w:t>
      </w:r>
      <w:r w:rsidRPr="00781112">
        <w:rPr>
          <w:color w:val="000000" w:themeColor="text1"/>
        </w:rPr>
        <w:br/>
      </w:r>
      <w:r w:rsidRPr="00781112">
        <w:rPr>
          <w:color w:val="000000" w:themeColor="text1"/>
        </w:rPr>
        <w:br/>
        <w:t>Strategy 2: Create and distribute high quality professional development modules identifying and utilizing evidence-based instructional strategies relating to K-3 early literacy outcomes and success.</w:t>
      </w:r>
      <w:r w:rsidRPr="00781112">
        <w:rPr>
          <w:color w:val="000000" w:themeColor="text1"/>
        </w:rPr>
        <w:br/>
      </w:r>
      <w:r w:rsidRPr="00781112">
        <w:rPr>
          <w:color w:val="000000" w:themeColor="text1"/>
        </w:rPr>
        <w:br/>
        <w:t>Activity: Create a sequenced professional development plan that responds to the needs of the school sites.</w:t>
      </w:r>
      <w:r w:rsidRPr="00781112">
        <w:rPr>
          <w:color w:val="000000" w:themeColor="text1"/>
        </w:rPr>
        <w:br/>
        <w:t>Outcome 1.1 Stakeholder input is used to determine professional development sequencing (governance). Achieved. Initial surveys determined the sequence and continued surveys determine need for change.</w:t>
      </w:r>
      <w:r w:rsidRPr="00781112">
        <w:rPr>
          <w:color w:val="000000" w:themeColor="text1"/>
        </w:rPr>
        <w:br/>
        <w:t>Outcome 1.2 Sequenced PD uses adult learning theory to support educator change (professional development). Achieved. The design of delivery is responsive to adult learners and the sequence builds content for immediate implementation.</w:t>
      </w:r>
      <w:r w:rsidRPr="00781112">
        <w:rPr>
          <w:color w:val="000000" w:themeColor="text1"/>
        </w:rPr>
        <w:br/>
        <w:t>Outcome 1.3 Sequenced professional development is responsive and aligned to the other tiered level of supports (professional development). Partially achieved. For the portions of developed PD, the sequence is aligned. However, not all of the PD has been completed to fully achieve the outcome.</w:t>
      </w:r>
      <w:r w:rsidRPr="00781112">
        <w:rPr>
          <w:color w:val="000000" w:themeColor="text1"/>
        </w:rPr>
        <w:br/>
      </w:r>
      <w:r w:rsidRPr="00781112">
        <w:rPr>
          <w:color w:val="000000" w:themeColor="text1"/>
        </w:rPr>
        <w:br/>
        <w:t>Activity: Lead and provide professional development and keep accurate data collection.</w:t>
      </w:r>
      <w:r w:rsidRPr="00781112">
        <w:rPr>
          <w:color w:val="000000" w:themeColor="text1"/>
        </w:rPr>
        <w:br/>
        <w:t>Outcome 2.1 Data collection methods to determine the participant’s increase in knowledge (data). Achieved. Content surveys determine the individual’s increase in content area knowledge. Item analyses are conducted to determine professional development changes.</w:t>
      </w:r>
      <w:r w:rsidRPr="00781112">
        <w:rPr>
          <w:color w:val="000000" w:themeColor="text1"/>
        </w:rPr>
        <w:br/>
        <w:t xml:space="preserve">Outcome 2.2 Continued data collection regarding participant’s increase in knowledge (data). Not achieved. The pilot program has run for four months and checkpoints for knowledge retention and increase have not occurred. </w:t>
      </w:r>
      <w:r w:rsidRPr="00781112">
        <w:rPr>
          <w:color w:val="000000" w:themeColor="text1"/>
        </w:rPr>
        <w:br/>
      </w:r>
      <w:r w:rsidRPr="00781112">
        <w:rPr>
          <w:color w:val="000000" w:themeColor="text1"/>
        </w:rPr>
        <w:br/>
        <w:t>Activity: Develop and provide professional development webinars specific to content topic.</w:t>
      </w:r>
      <w:r w:rsidRPr="00781112">
        <w:rPr>
          <w:color w:val="000000" w:themeColor="text1"/>
        </w:rPr>
        <w:br/>
        <w:t xml:space="preserve">Outcome 3.1 Webinars are succinct and express information clearly (professional development). Achieved. Modules are outlined, timed, and aligned with supporting information. </w:t>
      </w:r>
      <w:r w:rsidRPr="00781112">
        <w:rPr>
          <w:color w:val="000000" w:themeColor="text1"/>
        </w:rPr>
        <w:br/>
        <w:t xml:space="preserve">Outcome 3.2 Modules are crafted to provide high-quality, aligned, and sequenced content with focus on evidence-based practices (professional development). Achieved. The evidence-based practices are supported on the platform and within the professional development. </w:t>
      </w:r>
      <w:r w:rsidRPr="00781112">
        <w:rPr>
          <w:color w:val="000000" w:themeColor="text1"/>
        </w:rPr>
        <w:br/>
      </w:r>
      <w:r w:rsidRPr="00781112">
        <w:rPr>
          <w:color w:val="000000" w:themeColor="text1"/>
        </w:rPr>
        <w:br/>
        <w:t>Activity: Develop and provide professional development synchronous learning opportunities.</w:t>
      </w:r>
      <w:r w:rsidRPr="00781112">
        <w:rPr>
          <w:color w:val="000000" w:themeColor="text1"/>
        </w:rPr>
        <w:br/>
        <w:t>Outcome 4.1 Synchronous learning opportunities are developed with adult learning theory in mind (professional development). Partially achieved. In the pilot year, 2 of the 4 opportunities have been offered and surveys have indicated positive response from participants.</w:t>
      </w:r>
      <w:r w:rsidRPr="00781112">
        <w:rPr>
          <w:color w:val="000000" w:themeColor="text1"/>
        </w:rPr>
        <w:br/>
      </w:r>
      <w:r w:rsidRPr="00781112">
        <w:rPr>
          <w:color w:val="000000" w:themeColor="text1"/>
        </w:rPr>
        <w:br/>
        <w:t>Strategy 3: Build infrastructure to provide high quality instructional coaching for schools (application dependent) to further support evidence-based instructional strategies relating to K-3 early literacy outcomes and success.</w:t>
      </w:r>
      <w:r w:rsidRPr="00781112">
        <w:rPr>
          <w:color w:val="000000" w:themeColor="text1"/>
        </w:rPr>
        <w:br/>
      </w:r>
      <w:r w:rsidRPr="00781112">
        <w:rPr>
          <w:color w:val="000000" w:themeColor="text1"/>
        </w:rPr>
        <w:br/>
        <w:t>Activity: Create an application process that determines high need schools that would benefit from instructional coaching.</w:t>
      </w:r>
      <w:r w:rsidRPr="00781112">
        <w:rPr>
          <w:color w:val="000000" w:themeColor="text1"/>
        </w:rPr>
        <w:br/>
        <w:t xml:space="preserve">Outcome 1.1 SLT will develop an application and written protocols for instructional coaching contracts (governance). Partially achieved. This application and protocols are in progress to be completed by spring 2023. </w:t>
      </w:r>
      <w:r w:rsidRPr="00781112">
        <w:rPr>
          <w:color w:val="000000" w:themeColor="text1"/>
        </w:rPr>
        <w:br/>
        <w:t xml:space="preserve">Outcome 1.2 Sustainable capacity determines the quantity of participants in each cohort (governance). Achieved. The capacity has been determined and procedures are in place to determine annual revisions. </w:t>
      </w:r>
      <w:r w:rsidRPr="00781112">
        <w:rPr>
          <w:color w:val="000000" w:themeColor="text1"/>
        </w:rPr>
        <w:br/>
      </w:r>
      <w:r w:rsidRPr="00781112">
        <w:rPr>
          <w:color w:val="000000" w:themeColor="text1"/>
        </w:rPr>
        <w:br/>
        <w:t>Activity: Implement the Impact Cycle to improve individual educators’ implementation of evidence-based practices.</w:t>
      </w:r>
      <w:r w:rsidRPr="00781112">
        <w:rPr>
          <w:color w:val="000000" w:themeColor="text1"/>
        </w:rPr>
        <w:br/>
        <w:t xml:space="preserve">Outcome 2.1 SLT will develop written protocols and guidance to effectively support The Impact Cycle (governance). Partially achieved. Instructional coach has completed the Impact Cycle training and is currently developing protocols and guidance to support. </w:t>
      </w:r>
      <w:r w:rsidRPr="00781112">
        <w:rPr>
          <w:color w:val="000000" w:themeColor="text1"/>
        </w:rPr>
        <w:br/>
      </w:r>
      <w:r w:rsidRPr="00781112">
        <w:rPr>
          <w:color w:val="000000" w:themeColor="text1"/>
        </w:rPr>
        <w:br/>
        <w:t>Activity: SSIP Instructional Coach will create written protocols for coaching effectiveness and sustainability.</w:t>
      </w:r>
      <w:r w:rsidRPr="00781112">
        <w:rPr>
          <w:color w:val="000000" w:themeColor="text1"/>
        </w:rPr>
        <w:br/>
        <w:t xml:space="preserve">Outcome 3.1 Create written protocols for coaching including timing, location, and frequency during year 2 and update year 3-5 (governance). Partially achieved. These decisions have been made but have not been documented in written protocols at this time. </w:t>
      </w:r>
      <w:r w:rsidRPr="00781112">
        <w:rPr>
          <w:color w:val="000000" w:themeColor="text1"/>
        </w:rPr>
        <w:br/>
      </w:r>
      <w:r w:rsidRPr="00781112">
        <w:rPr>
          <w:color w:val="000000" w:themeColor="text1"/>
        </w:rPr>
        <w:br/>
        <w:t>Activity: Collect fidelity data to determine how instructional coaching is improving instruction.</w:t>
      </w:r>
      <w:r w:rsidRPr="00781112">
        <w:rPr>
          <w:color w:val="000000" w:themeColor="text1"/>
        </w:rPr>
        <w:br/>
        <w:t xml:space="preserve">Outcome 4.1 Data collection for educator implementation and improvement (data). Not achieved. The coach is creating materials for collecting data collaborating with SPDG, SSIP-Part C, and utilizing existing supports via TORSCH talent a professional learning platform for educators. </w:t>
      </w:r>
    </w:p>
    <w:p w14:paraId="7A07D856"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1A03571A" w14:textId="0DF7AD96" w:rsidR="00AE1972" w:rsidRPr="00781112" w:rsidRDefault="00AE1972" w:rsidP="00AE1972">
      <w:pPr>
        <w:rPr>
          <w:b/>
          <w:bCs/>
        </w:rPr>
      </w:pPr>
      <w:r w:rsidRPr="00781112">
        <w:rPr>
          <w:color w:val="000000" w:themeColor="text1"/>
        </w:rPr>
        <w:t xml:space="preserve">The previously defined infrastructure strategies that are not yet fully achieved are the focus for the the coming year(s). For all achieved outcomes, sustainability and long-term outcome achievements are the primary focus. </w:t>
      </w:r>
      <w:r w:rsidRPr="00781112">
        <w:rPr>
          <w:color w:val="000000" w:themeColor="text1"/>
        </w:rPr>
        <w:br/>
      </w:r>
      <w:r w:rsidRPr="00781112">
        <w:rPr>
          <w:color w:val="000000" w:themeColor="text1"/>
        </w:rPr>
        <w:br/>
        <w:t xml:space="preserve">The MTSS leadership meetings have provided an opportunity to collaborate agency-wide to support MTSS implementation state-wide. Due to staff turnover, a refocus is necessary to realign the outcomes of the team to the intention of the work. Because the universal supports (tier 1) are a collaborative effort for both the SSIP and the MTSS team, the evaluation of high-quality materials falls under this refocus. The following outcomes are a focus for the SLT: </w:t>
      </w:r>
      <w:r w:rsidRPr="00781112">
        <w:rPr>
          <w:color w:val="000000" w:themeColor="text1"/>
        </w:rPr>
        <w:br/>
        <w:t>•</w:t>
      </w:r>
      <w:r w:rsidRPr="00781112">
        <w:rPr>
          <w:color w:val="000000" w:themeColor="text1"/>
        </w:rPr>
        <w:tab/>
        <w:t xml:space="preserve">MTSS is promoted and instituted agency wide as a viable framework for site support. </w:t>
      </w:r>
      <w:r w:rsidRPr="00781112">
        <w:rPr>
          <w:color w:val="000000" w:themeColor="text1"/>
        </w:rPr>
        <w:br/>
        <w:t>• The leadership team annually conducts a self-assessment to determine status relative to sustainability.</w:t>
      </w:r>
      <w:r w:rsidRPr="00781112">
        <w:rPr>
          <w:color w:val="000000" w:themeColor="text1"/>
        </w:rPr>
        <w:br/>
        <w:t>•</w:t>
      </w:r>
      <w:r w:rsidRPr="00781112">
        <w:rPr>
          <w:color w:val="000000" w:themeColor="text1"/>
        </w:rPr>
        <w:tab/>
        <w:t xml:space="preserve">Continued agency alignment regarding MTSS implementation. </w:t>
      </w:r>
      <w:r w:rsidRPr="00781112">
        <w:rPr>
          <w:color w:val="000000" w:themeColor="text1"/>
        </w:rPr>
        <w:br/>
        <w:t>• Continued addition and revision of materials to ensure that relevant, used, and high-quality materials are placed on the e-learning platform</w:t>
      </w:r>
      <w:r w:rsidRPr="00781112">
        <w:rPr>
          <w:color w:val="000000" w:themeColor="text1"/>
        </w:rPr>
        <w:br/>
        <w:t>•</w:t>
      </w:r>
      <w:r w:rsidRPr="00781112">
        <w:rPr>
          <w:color w:val="000000" w:themeColor="text1"/>
        </w:rPr>
        <w:tab/>
        <w:t xml:space="preserve">High quality materials are provided on the platform categorized for ease of use. </w:t>
      </w:r>
      <w:r w:rsidRPr="00781112">
        <w:rPr>
          <w:color w:val="000000" w:themeColor="text1"/>
        </w:rPr>
        <w:br/>
        <w:t>• Definitions of the categories in which materials will be categorized under, are provided and responsive to school needs.</w:t>
      </w:r>
      <w:r w:rsidRPr="00781112">
        <w:rPr>
          <w:color w:val="000000" w:themeColor="text1"/>
        </w:rPr>
        <w:br/>
      </w:r>
      <w:r w:rsidRPr="00781112">
        <w:rPr>
          <w:color w:val="000000" w:themeColor="text1"/>
        </w:rPr>
        <w:br/>
        <w:t xml:space="preserve">The ATSI designation determination timeline and subsequent designation definitions are managed by the Office of School Support. The following outcomes are intended to be achieved as the designation timeline is approaching: </w:t>
      </w:r>
      <w:r w:rsidRPr="00781112">
        <w:rPr>
          <w:color w:val="000000" w:themeColor="text1"/>
        </w:rPr>
        <w:br/>
        <w:t>• The state infrastructure is effective for supporting the SSIP and long-term programmatic change.</w:t>
      </w:r>
      <w:r w:rsidRPr="00781112">
        <w:rPr>
          <w:color w:val="000000" w:themeColor="text1"/>
        </w:rPr>
        <w:br/>
      </w:r>
      <w:r w:rsidRPr="00781112">
        <w:rPr>
          <w:color w:val="000000" w:themeColor="text1"/>
        </w:rPr>
        <w:br/>
        <w:t xml:space="preserve">As the pilot year ends, the long-term outcomes that are useful for measuring sustainability and scale-up must be defined soon. In addition to the goals listed below, continued professional development courses will be developed to match the sequenced professional development. The following outcomes are anticipated to be partially or fully achieved by the end of the pilot year: </w:t>
      </w:r>
      <w:r w:rsidRPr="00781112">
        <w:rPr>
          <w:color w:val="000000" w:themeColor="text1"/>
        </w:rPr>
        <w:br/>
        <w:t>•</w:t>
      </w:r>
      <w:r w:rsidRPr="00781112">
        <w:rPr>
          <w:color w:val="000000" w:themeColor="text1"/>
        </w:rPr>
        <w:tab/>
        <w:t xml:space="preserve">The tiered framework is sustainable (measure TBD). </w:t>
      </w:r>
      <w:r w:rsidRPr="00781112">
        <w:rPr>
          <w:color w:val="000000" w:themeColor="text1"/>
        </w:rPr>
        <w:br/>
        <w:t>• Feedback mechanisms exist to refine processes, procedures, and interventions over time.</w:t>
      </w:r>
      <w:r w:rsidRPr="00781112">
        <w:rPr>
          <w:color w:val="000000" w:themeColor="text1"/>
        </w:rPr>
        <w:br/>
        <w:t>• Sequenced professional development is responsive and aligned to the other tiered level of supports.</w:t>
      </w:r>
      <w:r w:rsidRPr="00781112">
        <w:rPr>
          <w:color w:val="000000" w:themeColor="text1"/>
        </w:rPr>
        <w:br/>
        <w:t>• Continued data collection regarding participant’s increase in knowledge.</w:t>
      </w:r>
      <w:r w:rsidRPr="00781112">
        <w:rPr>
          <w:color w:val="000000" w:themeColor="text1"/>
        </w:rPr>
        <w:br/>
        <w:t>• Synchronous learning opportunities are developed with adult learning theory in mind.</w:t>
      </w:r>
      <w:r w:rsidRPr="00781112">
        <w:rPr>
          <w:color w:val="000000" w:themeColor="text1"/>
        </w:rPr>
        <w:br/>
      </w:r>
      <w:r w:rsidRPr="00781112">
        <w:rPr>
          <w:color w:val="000000" w:themeColor="text1"/>
        </w:rPr>
        <w:br/>
        <w:t xml:space="preserve">In August 2023, instructional coaching will begin with selected ATSI sites. Therefore, the continued implementation of the instructional coaching infrastructure is a focus for the upcoming year with the following expected outcomes: </w:t>
      </w:r>
      <w:r w:rsidRPr="00781112">
        <w:rPr>
          <w:color w:val="000000" w:themeColor="text1"/>
        </w:rPr>
        <w:br/>
        <w:t>• SLT will develop an application and written protocols for instructional coaching contracts.</w:t>
      </w:r>
      <w:r w:rsidRPr="00781112">
        <w:rPr>
          <w:color w:val="000000" w:themeColor="text1"/>
        </w:rPr>
        <w:br/>
        <w:t>• SLT will develop written protocols and guidance to effectively support The Impact Cycle.</w:t>
      </w:r>
      <w:r w:rsidRPr="00781112">
        <w:rPr>
          <w:color w:val="000000" w:themeColor="text1"/>
        </w:rPr>
        <w:br/>
        <w:t>•</w:t>
      </w:r>
      <w:r w:rsidRPr="00781112">
        <w:rPr>
          <w:color w:val="000000" w:themeColor="text1"/>
        </w:rPr>
        <w:tab/>
        <w:t xml:space="preserve">Create written protocols for coaching including timing, location, and frequency during year 2 and update years 3-5. </w:t>
      </w:r>
      <w:r w:rsidRPr="00781112">
        <w:rPr>
          <w:color w:val="000000" w:themeColor="text1"/>
        </w:rPr>
        <w:br/>
        <w:t>• Data collection for educator implementation of EBPs and improvement in literacy instruction in participating schools.</w:t>
      </w:r>
    </w:p>
    <w:p w14:paraId="0D313DAA" w14:textId="77777777" w:rsidR="00AE1972" w:rsidRPr="00781112" w:rsidRDefault="00AE1972" w:rsidP="00AE1972">
      <w:pPr>
        <w:rPr>
          <w:rFonts w:cs="Arial"/>
          <w:b/>
          <w:bCs/>
        </w:rPr>
      </w:pPr>
    </w:p>
    <w:p w14:paraId="35176598" w14:textId="77777777" w:rsidR="00AE1972" w:rsidRPr="00781112" w:rsidRDefault="00AE1972" w:rsidP="00AE1972">
      <w:pPr>
        <w:rPr>
          <w:rFonts w:cs="Arial"/>
          <w:b/>
          <w:bCs/>
        </w:rPr>
      </w:pPr>
      <w:r w:rsidRPr="00781112">
        <w:rPr>
          <w:rFonts w:cs="Arial"/>
          <w:b/>
          <w:bCs/>
        </w:rPr>
        <w:t>List the selected evidence-based practices implement in the reporting period:</w:t>
      </w:r>
    </w:p>
    <w:p w14:paraId="5DA152F5" w14:textId="71CAFB34" w:rsidR="00AE1972" w:rsidRPr="00781112" w:rsidRDefault="00AE1972" w:rsidP="00AE1972">
      <w:pPr>
        <w:rPr>
          <w:b/>
          <w:bCs/>
        </w:rPr>
      </w:pPr>
      <w:r w:rsidRPr="00781112">
        <w:rPr>
          <w:color w:val="000000" w:themeColor="text1"/>
        </w:rPr>
        <w:t>• Universal Design for Learning</w:t>
      </w:r>
      <w:r w:rsidRPr="00781112">
        <w:rPr>
          <w:color w:val="000000" w:themeColor="text1"/>
        </w:rPr>
        <w:br/>
        <w:t>• Accommodations and Modifications</w:t>
      </w:r>
      <w:r w:rsidRPr="00781112">
        <w:rPr>
          <w:color w:val="000000" w:themeColor="text1"/>
        </w:rPr>
        <w:br/>
        <w:t>• Multi-tiered Systems of Support</w:t>
      </w:r>
      <w:r w:rsidRPr="00781112">
        <w:rPr>
          <w:color w:val="000000" w:themeColor="text1"/>
        </w:rPr>
        <w:br/>
        <w:t>• Implementing Interventions</w:t>
      </w:r>
      <w:r w:rsidRPr="00781112">
        <w:rPr>
          <w:color w:val="000000" w:themeColor="text1"/>
        </w:rPr>
        <w:br/>
        <w:t>• Oral language</w:t>
      </w:r>
      <w:r w:rsidRPr="00781112">
        <w:rPr>
          <w:color w:val="000000" w:themeColor="text1"/>
        </w:rPr>
        <w:br/>
        <w:t>• Phonology</w:t>
      </w:r>
      <w:r w:rsidRPr="00781112">
        <w:rPr>
          <w:color w:val="000000" w:themeColor="text1"/>
        </w:rPr>
        <w:br/>
        <w:t>• Phonics</w:t>
      </w:r>
      <w:r w:rsidRPr="00781112">
        <w:rPr>
          <w:color w:val="000000" w:themeColor="text1"/>
        </w:rPr>
        <w:br/>
        <w:t>• Word Study</w:t>
      </w:r>
    </w:p>
    <w:p w14:paraId="10F85993" w14:textId="77777777" w:rsidR="00AE1972" w:rsidRPr="00781112" w:rsidRDefault="00AE1972" w:rsidP="00AE1972">
      <w:pPr>
        <w:rPr>
          <w:rFonts w:cs="Arial"/>
          <w:b/>
          <w:bCs/>
        </w:rPr>
      </w:pPr>
    </w:p>
    <w:p w14:paraId="22910457" w14:textId="77777777" w:rsidR="00AE1972" w:rsidRPr="00781112" w:rsidRDefault="00AE1972" w:rsidP="00AE1972">
      <w:pPr>
        <w:rPr>
          <w:rFonts w:cs="Arial"/>
          <w:b/>
          <w:bCs/>
        </w:rPr>
      </w:pPr>
      <w:r w:rsidRPr="00781112">
        <w:rPr>
          <w:rFonts w:cs="Arial"/>
          <w:b/>
          <w:bCs/>
        </w:rPr>
        <w:t>Provide a summary of each evidence-based practices.</w:t>
      </w:r>
    </w:p>
    <w:p w14:paraId="30605054" w14:textId="1313DE13" w:rsidR="00AE1972" w:rsidRPr="00781112" w:rsidRDefault="00AE1972" w:rsidP="00AE1972">
      <w:pPr>
        <w:rPr>
          <w:b/>
          <w:bCs/>
        </w:rPr>
      </w:pPr>
      <w:r w:rsidRPr="00781112">
        <w:rPr>
          <w:color w:val="000000" w:themeColor="text1"/>
        </w:rPr>
        <w:t>Universal Design for Learning</w:t>
      </w:r>
      <w:r w:rsidRPr="00781112">
        <w:rPr>
          <w:color w:val="000000" w:themeColor="text1"/>
        </w:rPr>
        <w:br/>
        <w:t>The framework of universal design for learning focuses on three components: multiple representations of content, means of engagement, and options for expression. Practices taught regarding implementation of instructional practices focusing on multiple representations of content include strategies to deepen educator planning, provide visual components to phonological skills, and empower the teacher and student to create visual graphics collaboratively. The strategy from the TIES Lessons for ALL, 5-15-45, incorporates opportunities for educators to deepen their understanding of barriers to student understanding. Elkonin sound boxes represent a visual and tactile component to an auditory connection. Choice menus provide students an opportunity to select the topic, group, and the product they will create to demonstrate understanding of an objective given all students. Basic student grouping practices including heterogenous, and homogenous grouping, collaborative groups, partners, and jigsaw groups are provided as means to improve engagement. Think-pair-share offers an opportunity for those students who need more processing time to think, a time to pair off and gain insight from a partner or revise their thinking, as well as time to share if desired with the class. Additionally, modeling skills that will gradually become independent skills for students can be done using the I Do, We Do, You Do practice. Practices taught regarding options for expression include methods for assessing alternate assignments with the use of checklists and rubrics. The rubric styles described include checklists, holistic, developmental, and analytic.</w:t>
      </w:r>
      <w:r w:rsidRPr="00781112">
        <w:rPr>
          <w:color w:val="000000" w:themeColor="text1"/>
        </w:rPr>
        <w:br/>
        <w:t>Accommodations &amp; Modifications</w:t>
      </w:r>
      <w:r w:rsidRPr="00781112">
        <w:rPr>
          <w:color w:val="000000" w:themeColor="text1"/>
        </w:rPr>
        <w:br/>
        <w:t>While evidence-based practices are not specifically related to the implementation of accommodations and modifications, explicit strategies are represented in the webinar style module. Accommodations are divided into four variations: time, size, input, and output. Specific examples and case studies are provided to allow participants to critically think about their understanding as it relates to data driven decisions regarding accommodation and modification provisions.</w:t>
      </w:r>
      <w:r w:rsidRPr="00781112">
        <w:rPr>
          <w:color w:val="000000" w:themeColor="text1"/>
        </w:rPr>
        <w:br/>
        <w:t>MTSS Tiered Framework</w:t>
      </w:r>
      <w:r w:rsidRPr="00781112">
        <w:rPr>
          <w:color w:val="000000" w:themeColor="text1"/>
        </w:rPr>
        <w:br/>
        <w:t>Multi-tiered system of support is an evidence-based framework model of schooling that emphasizes key components involving universal screening to target early identification of skill deficits, tiers of interventions that can be intensified in response to levels of need, progress monitoring using data driven decision making procedures, and fidelity of the evidence-based interventions being implemented as prescribed. Within the training module, participants learn practices regarding the definition of MTSS, how MTSS relates to RTI, and best practices to implement in a school-wide system. Participants are provided opportunities in which they are encouraged to critically think about screening data and determine the next steps regarding MTSS infrastructural procedures.</w:t>
      </w:r>
      <w:r w:rsidRPr="00781112">
        <w:rPr>
          <w:color w:val="000000" w:themeColor="text1"/>
        </w:rPr>
        <w:br/>
        <w:t>Implementing Interventions</w:t>
      </w:r>
      <w:r w:rsidRPr="00781112">
        <w:rPr>
          <w:color w:val="000000" w:themeColor="text1"/>
        </w:rPr>
        <w:br/>
        <w:t>Evidence-based instructional strategies taught in this module are intended to be adjusted as students’ specific needs are addressed through the intervention intensity guidelines. Educators examine relevant research that supports the usage of evidence-based early intervention for students. Participants learn about the seven components of adjusting intensive interventions: strength, dosage, alignment, attention to transfer, comprehensiveness, behavioral or academic support, and individualization. Within each of these components, educators are advised to consider student data and observation to identify the best possible implementation. Schools are encouraged to consider infrastructural supports needed to implement an effective intervention system built with the framework of MTSS. Additionally, within the module several evidence-based instructional strategies are taught as available resources for educator usage. Folding in, repeated practice, time delay, and I Do, We Do, You Do are examples of interventions that are evidence-based instructional strategies easily adjusted for intensity and are effective across academic areas. Participants are guided to provide explicit instruction during repeated practice intervention opportunities. Within the module, participants develop their understanding of progress monitoring and how it relates to the intervention provided.</w:t>
      </w:r>
      <w:r w:rsidRPr="00781112">
        <w:rPr>
          <w:color w:val="000000" w:themeColor="text1"/>
        </w:rPr>
        <w:br/>
        <w:t>Instructional Coaching Practices</w:t>
      </w:r>
      <w:r w:rsidRPr="00781112">
        <w:rPr>
          <w:color w:val="000000" w:themeColor="text1"/>
        </w:rPr>
        <w:br/>
        <w:t>The instructional coaching practice module has two purposes: a) to guide interested school sites to understand the instructional coaching practices that will be provided through the SSIP; and b) to support existing coaches in understanding a framework of coaching they can utilize to support their existing capacity. The module focuses on the Jim Knight method of instructional coaching.</w:t>
      </w:r>
      <w:r w:rsidRPr="00781112">
        <w:rPr>
          <w:color w:val="000000" w:themeColor="text1"/>
        </w:rPr>
        <w:br/>
        <w:t>Oral Language</w:t>
      </w:r>
      <w:r w:rsidRPr="00781112">
        <w:rPr>
          <w:color w:val="000000" w:themeColor="text1"/>
        </w:rPr>
        <w:br/>
        <w:t>The oral language module focuses on the science of reading terms and misconceptions. This module features an understanding of structured literacy practices and how they relate to the Oklahoma screener assessments that helps to identify student deficits. Since Oklahoma legislation requires all educators to attend a dyslexia professional development, this module builds off the understanding of structured literacy gained from the dyslexia professional development. Within this module, two phonological interventions are presented: rhyming- thumbs up, thumbs down and phoneme matching.</w:t>
      </w:r>
      <w:r w:rsidRPr="00781112">
        <w:rPr>
          <w:color w:val="000000" w:themeColor="text1"/>
        </w:rPr>
        <w:br/>
        <w:t>Phonology</w:t>
      </w:r>
      <w:r w:rsidRPr="00781112">
        <w:rPr>
          <w:color w:val="000000" w:themeColor="text1"/>
        </w:rPr>
        <w:br/>
        <w:t>The phonology module focuses specifically on sequencing phonological interventions. The module begins with identifying phonology and the rationale for determining student deficits in this area. Clapping sentences begins the skill for identifying the separations between words in sentences and later syllables. Token sentences is another variation of segmentation sentences and Clapping syllables supports the identification of syllables. Token onset/rime segmentation and blending support students to listen and hear onset and rimes before including graphemes. Arm blending and arm segmenting utilize the arm as a tool to be able to blend and segment sounds without graphemes. Token sound manipulation provide a multi-sensory experience to support phonological tasks including segmenting, blending, isolating, deleting and substitution.</w:t>
      </w:r>
      <w:r w:rsidRPr="00781112">
        <w:rPr>
          <w:color w:val="000000" w:themeColor="text1"/>
        </w:rPr>
        <w:br/>
        <w:t>Phonics</w:t>
      </w:r>
      <w:r w:rsidRPr="00781112">
        <w:rPr>
          <w:color w:val="000000" w:themeColor="text1"/>
        </w:rPr>
        <w:br/>
        <w:t>Within the phonics module, educators are introduced to blends and digraphs, and how these relate to the phonetic instruction provided. Universal screeners are discussed as tools to identify student deficit areas. Interventions supported in this module include Elkonin sound boxes with encoding support. Identification of Vowels and Consonants support the ability to apply spelling patterns to words. Letter sound games support the ability to connect letters with their sounds. Silent ‘e’ sort supports the identification of differentiation between CVC and CVCe words. Open/Closed syllable sort supports additional spelling patterns to identify the correct vowel sound. Build a word supports the use of onset and rime to create a word. Word sorting supports students’ identification of words that share similar spelling patterns but different pronunciations or similar pronunciations and different spelling patterns.</w:t>
      </w:r>
      <w:r w:rsidRPr="00781112">
        <w:rPr>
          <w:color w:val="000000" w:themeColor="text1"/>
        </w:rPr>
        <w:br/>
        <w:t>Word Study</w:t>
      </w:r>
      <w:r w:rsidRPr="00781112">
        <w:rPr>
          <w:color w:val="000000" w:themeColor="text1"/>
        </w:rPr>
        <w:br/>
        <w:t>The word study module consists of an introduction to word study and morphology and how universal screeners can support word study deficits. Sequencing word study task and how to support future skills beyond K-3. Evidence-based practices including sorting words, selecting word sets, word detective (determining the meaning of a word) and word builder (using morphemes to support creating words).</w:t>
      </w:r>
    </w:p>
    <w:p w14:paraId="79F66E5E" w14:textId="77777777" w:rsidR="00AE1972" w:rsidRPr="00781112" w:rsidRDefault="00AE1972" w:rsidP="00AE1972">
      <w:pPr>
        <w:rPr>
          <w:rFonts w:cs="Arial"/>
          <w:b/>
          <w:bCs/>
        </w:rPr>
      </w:pPr>
      <w:r w:rsidRPr="00781112">
        <w:rPr>
          <w:rFonts w:cs="Arial"/>
          <w:b/>
          <w:bCs/>
        </w:rPr>
        <w:t xml:space="preserve"> </w:t>
      </w:r>
    </w:p>
    <w:p w14:paraId="7DF513C4" w14:textId="5FBB7389" w:rsidR="00AE1972" w:rsidRPr="00781112" w:rsidRDefault="00AE1972" w:rsidP="00AE1972">
      <w:pPr>
        <w:rPr>
          <w:rFonts w:cs="Arial"/>
          <w:b/>
          <w:bCs/>
        </w:rPr>
      </w:pPr>
      <w:bookmarkStart w:id="92" w:name="_Hlk88409387"/>
      <w:r w:rsidRPr="00781112">
        <w:rPr>
          <w:rFonts w:cs="Arial"/>
          <w:b/>
          <w:bCs/>
        </w:rPr>
        <w:t xml:space="preserve">Provide a summary of how each evidence-based practice and activities or strategies that support its use, is intended to impact the SiMR by changing program/district policies, procedures, and/or practices, teacher/provider practices (e.g. behaviors), parent/caregiver outcomes, and/or child /outcomes. </w:t>
      </w:r>
    </w:p>
    <w:bookmarkEnd w:id="92"/>
    <w:p w14:paraId="3E043DB7" w14:textId="7C3B2CD4" w:rsidR="00AE1972" w:rsidRPr="00781112" w:rsidRDefault="00AE1972" w:rsidP="00AE1972">
      <w:pPr>
        <w:rPr>
          <w:b/>
          <w:bCs/>
        </w:rPr>
      </w:pPr>
      <w:r w:rsidRPr="00781112">
        <w:rPr>
          <w:color w:val="000000" w:themeColor="text1"/>
        </w:rPr>
        <w:t xml:space="preserve">The evidence-based instructional strategies described just previously will impact the SiMR primarily by changing teacher/provider practices, which will in turn affect a variety of other outcomes. In general, tiered instruction supports impact districts at their level of need by helping them create or adjust site policies, procedures and practices. The overlap of these tiered supports is intended to achieve various levels of educational outcomes for all stakeholders involved, including site administrators, teachers, caregivers, and students. With specific sequenced focus on early literacy and the evidence-based practices, the SLT anticipates incremental change that will grow to statistically significant change over the course of the project. </w:t>
      </w:r>
      <w:r w:rsidRPr="00781112">
        <w:rPr>
          <w:color w:val="000000" w:themeColor="text1"/>
        </w:rPr>
        <w:br/>
      </w:r>
      <w:r w:rsidRPr="00781112">
        <w:rPr>
          <w:color w:val="000000" w:themeColor="text1"/>
        </w:rPr>
        <w:br/>
        <w:t xml:space="preserve">Universal supports (tier 1) are available to all K-3 educators and parents via a state-owned Canvas platform. The materials are organized to meet the needs of the SiMR focusing on evidence-based instructional protocols that educators and parents can follow to support identified student deficits. These deficits, when intervened by matching an evidence-based intervention to the targeted skill deficit, will have a significant impact on student outcomes related to the SiMR. Teaching the process of graphing the data to determine if students meet their targeted goal will also help visually communicate to the parent the child progress. There is also research regarding a student self-graphing their performance to bring an awareness level of their personal progress in a specific skill. </w:t>
      </w:r>
      <w:r w:rsidRPr="00781112">
        <w:rPr>
          <w:color w:val="000000" w:themeColor="text1"/>
        </w:rPr>
        <w:br/>
      </w:r>
      <w:r w:rsidRPr="00781112">
        <w:rPr>
          <w:color w:val="000000" w:themeColor="text1"/>
        </w:rPr>
        <w:br/>
        <w:t>Schools utilizing the professional development sequence (Tier 2) are accessing explicit technical assistance regarding how to use the library of evidence-based practices via the universal supports (tier 1) eLearning platform. This explicit instruction to participants is intended to support educator understanding regarding nuanced application and create a common language to support adjustments in site level procedures. With the next implementation of tier 3 instructional coaching, participants are provided explicit and direct support to implement literacy changes for their students.</w:t>
      </w:r>
    </w:p>
    <w:p w14:paraId="43C06488" w14:textId="77777777" w:rsidR="00AE1972" w:rsidRPr="00781112" w:rsidRDefault="00AE1972" w:rsidP="00AE1972">
      <w:pPr>
        <w:rPr>
          <w:rFonts w:cs="Arial"/>
          <w:b/>
          <w:bCs/>
        </w:rPr>
      </w:pPr>
      <w:r w:rsidRPr="00781112">
        <w:rPr>
          <w:rFonts w:cs="Arial"/>
          <w:b/>
          <w:bCs/>
        </w:rPr>
        <w:t xml:space="preserve"> </w:t>
      </w:r>
    </w:p>
    <w:p w14:paraId="46DD8115"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3AADEE00" w14:textId="0533CE7C" w:rsidR="00AE1972" w:rsidRPr="00781112" w:rsidRDefault="00AE1972" w:rsidP="00AE1972">
      <w:pPr>
        <w:rPr>
          <w:b/>
          <w:bCs/>
        </w:rPr>
      </w:pPr>
      <w:r w:rsidRPr="00781112">
        <w:rPr>
          <w:color w:val="000000" w:themeColor="text1"/>
        </w:rPr>
        <w:t>In addition to the supporting data collected as described in sections above, content quizzes, implementation surveys, and feedback surveys have been developed to assist the SLT in its understanding of training effectiveness. The professional development feedback survey data have been very positive. After the conclusion of three synchronous PD events, the average response is “strongly agree” indicating that participants are finding value in the project. This supports the continued efforts of the SLT and the project itself.</w:t>
      </w:r>
      <w:r w:rsidRPr="00781112">
        <w:rPr>
          <w:color w:val="000000" w:themeColor="text1"/>
        </w:rPr>
        <w:br/>
      </w:r>
      <w:r w:rsidRPr="00781112">
        <w:rPr>
          <w:color w:val="000000" w:themeColor="text1"/>
        </w:rPr>
        <w:br/>
        <w:t xml:space="preserve">The SLT has met monthly to monitor fidelity to high quality training practices and adherence to its implementation plan, discussing any modifications necessary. Continuous reference to the evaluation plan ensures that identified activities and tasks kept to the determined timelines. The SLT utilized a live working document to track actions and completion of tasks. </w:t>
      </w:r>
      <w:r w:rsidRPr="00781112">
        <w:rPr>
          <w:color w:val="000000" w:themeColor="text1"/>
        </w:rPr>
        <w:br/>
      </w:r>
      <w:r w:rsidRPr="00781112">
        <w:rPr>
          <w:color w:val="000000" w:themeColor="text1"/>
        </w:rPr>
        <w:br/>
        <w:t>The SLT has collected limited data reflecting fidelity of implementation in the classroom to this point in the project. Participant sites were selected very recently, and school personnel have engaged with the professional development and training content for less than five months. All data yet collected have highlighted knowledge gains (a short-term outcome) rather than whether the EBPs have been implemented with fidelity and are producing positive student results (medium and long-term project outcomes). The state has collected some self-reported implementation data for some module topics. The average implementation score out of 30 is 24.7, indicating that educators report using the EBPs about 80% of the time. This data point suggests that the recommended strategies are being used with high frequency, at least as self-reported at the conclusion of each training module. The SLT expects usage to change over time as participants become more familiar with the strategies.</w:t>
      </w:r>
      <w:r w:rsidRPr="00781112">
        <w:rPr>
          <w:color w:val="000000" w:themeColor="text1"/>
        </w:rPr>
        <w:br/>
      </w:r>
      <w:r w:rsidRPr="00781112">
        <w:rPr>
          <w:color w:val="000000" w:themeColor="text1"/>
        </w:rPr>
        <w:br/>
        <w:t>The third tier of support has not begun at this time and thus coaching and observation data have not been collected yet.</w:t>
      </w:r>
    </w:p>
    <w:p w14:paraId="3D905B01" w14:textId="77777777" w:rsidR="00AE1972" w:rsidRPr="00781112" w:rsidRDefault="00AE1972" w:rsidP="00AE1972">
      <w:pPr>
        <w:rPr>
          <w:rFonts w:cs="Arial"/>
          <w:b/>
          <w:bCs/>
        </w:rPr>
      </w:pPr>
    </w:p>
    <w:p w14:paraId="7A09B895" w14:textId="1AAA50A4" w:rsidR="00AE1972" w:rsidRPr="00781112" w:rsidRDefault="00C87801" w:rsidP="00AE1972">
      <w:pPr>
        <w:rPr>
          <w:rFonts w:cs="Arial"/>
          <w:b/>
          <w:bCs/>
        </w:rPr>
      </w:pPr>
      <w:r w:rsidRPr="00C87801">
        <w:rPr>
          <w:rFonts w:cs="Arial"/>
          <w:b/>
          <w:bCs/>
        </w:rPr>
        <w:t>Describe any additional data (e.g. progress monitoring) that was collected that supports the decision to continue the ongoing use of each evidence-based practice.</w:t>
      </w:r>
    </w:p>
    <w:p w14:paraId="61FB2284" w14:textId="795DBC6E" w:rsidR="00AE1972" w:rsidRDefault="00AE1972" w:rsidP="00AE1972">
      <w:pPr>
        <w:rPr>
          <w:color w:val="000000" w:themeColor="text1"/>
        </w:rPr>
      </w:pPr>
      <w:r w:rsidRPr="00781112">
        <w:rPr>
          <w:color w:val="000000" w:themeColor="text1"/>
        </w:rPr>
        <w:t xml:space="preserve">At this time, limited data have yet been collected that could be used to make any decisions about the ongoing use of the evidence-based practices described earlier, except as reported in the prior section. </w:t>
      </w:r>
    </w:p>
    <w:p w14:paraId="1C12C4CB" w14:textId="17146AE7" w:rsidR="00C87801" w:rsidRDefault="00C87801" w:rsidP="00AE1972">
      <w:pPr>
        <w:rPr>
          <w:color w:val="000000" w:themeColor="text1"/>
        </w:rPr>
      </w:pPr>
    </w:p>
    <w:p w14:paraId="00E7E41D" w14:textId="77777777"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practices and the anticipated outcomes to be attained during the next reporting period. </w:t>
      </w:r>
    </w:p>
    <w:p w14:paraId="3EDD1FBC" w14:textId="4546113E" w:rsidR="00C87801" w:rsidRDefault="00C87801" w:rsidP="00C87801">
      <w:pPr>
        <w:rPr>
          <w:color w:val="000000" w:themeColor="text1"/>
        </w:rPr>
      </w:pPr>
      <w:r w:rsidRPr="00781112">
        <w:rPr>
          <w:color w:val="000000" w:themeColor="text1"/>
        </w:rPr>
        <w:t>The SLT team will continue to provide guidance, professional development and training to school personnel on the use of evidence-based instructional strategies at all three tiers of support. The following activities will be conducted in FFY 2022 and are reported here in alignment with the evaluation plan goals and strategies:</w:t>
      </w:r>
      <w:r w:rsidRPr="00781112">
        <w:rPr>
          <w:color w:val="000000" w:themeColor="text1"/>
        </w:rPr>
        <w:br/>
      </w:r>
      <w:r w:rsidRPr="00781112">
        <w:rPr>
          <w:color w:val="000000" w:themeColor="text1"/>
        </w:rPr>
        <w:br/>
        <w:t>Implementation Goal 1:  The OSDE will provide access and continued monitoring of resources, professional development, and coaching of evidence-based practices, with increased support at tiered levels, to provide opportunities to develop high quality school site teams in grades K-3 that consistently implement evidence-based practices that support early literacy strategies.</w:t>
      </w:r>
      <w:r w:rsidRPr="00781112">
        <w:rPr>
          <w:color w:val="000000" w:themeColor="text1"/>
        </w:rPr>
        <w:br/>
      </w:r>
      <w:r w:rsidRPr="00781112">
        <w:rPr>
          <w:color w:val="000000" w:themeColor="text1"/>
        </w:rPr>
        <w:br/>
        <w:t>Strategy 1: Implement effective instructional practices to support K-3 site teams instructional change leading to improved student outcomes.</w:t>
      </w:r>
      <w:r w:rsidRPr="00781112">
        <w:rPr>
          <w:color w:val="000000" w:themeColor="text1"/>
        </w:rPr>
        <w:br/>
      </w:r>
      <w:r w:rsidRPr="00781112">
        <w:rPr>
          <w:color w:val="000000" w:themeColor="text1"/>
        </w:rPr>
        <w:br/>
        <w:t>Activity: Universal Supports are utilized by educators in the state.</w:t>
      </w:r>
      <w:r w:rsidRPr="00781112">
        <w:rPr>
          <w:color w:val="000000" w:themeColor="text1"/>
        </w:rPr>
        <w:br/>
        <w:t xml:space="preserve">Outcome 1.1: Universal supports are utilized by SSIP participants. Partly achieved 2022; expanding in 2023. Many participants are using the resources, but the location is not easily accessible. The SLT expects that the web host for the universal support guidance and documentation will move to a more user-friendly and accessible location. This work is being developed in association with the SPDG team and the MTSS team. This move will support easier access to the evidence-based protocols that are available for all K-3 educators and taught in the professional development sequence.  </w:t>
      </w:r>
      <w:r w:rsidRPr="00781112">
        <w:rPr>
          <w:color w:val="000000" w:themeColor="text1"/>
        </w:rPr>
        <w:br/>
      </w:r>
      <w:r w:rsidRPr="00781112">
        <w:rPr>
          <w:color w:val="000000" w:themeColor="text1"/>
        </w:rPr>
        <w:br/>
        <w:t>Activity: The professional development sequence is utilized by  participating site personnel.</w:t>
      </w:r>
      <w:r w:rsidRPr="00781112">
        <w:rPr>
          <w:color w:val="000000" w:themeColor="text1"/>
        </w:rPr>
        <w:br/>
        <w:t>Outcome 2.1: Participants utilizing the modules will gain an increase in content understanding. Partly achieved 2022; expanding in 2023.</w:t>
      </w:r>
      <w:r w:rsidRPr="00781112">
        <w:rPr>
          <w:color w:val="000000" w:themeColor="text1"/>
        </w:rPr>
        <w:br/>
        <w:t>Outcome 2.2: Participants utilizing the sequence will increase implementation of strategies. Partly achieved 2022; expanding in 2023.</w:t>
      </w:r>
      <w:r w:rsidRPr="00781112">
        <w:rPr>
          <w:color w:val="000000" w:themeColor="text1"/>
        </w:rPr>
        <w:br/>
        <w:t xml:space="preserve">As reported previously, current participants have demonstrated increases in content knowledge and report that they are implementing EBPs and related classroom strategies. The SLT will continue working with the current cohort through the sequence of professional development that includes explicitly supporting the science of reading with evidence-based practices: Science of Reading: Oral language, Phonology, Phonics, Word Study, Fluency, Vocabulary, and Reading Comprehension. Evaluation tools will continue to be used to report on these outcomes. Continued development of the professional development sequence will lead to increased use of evidence-based practices that support the SiMR. The progression of the sequence will support districts as they adjust their policies and procedures to implement change towards the SiMR. </w:t>
      </w:r>
      <w:r w:rsidRPr="00781112">
        <w:rPr>
          <w:color w:val="000000" w:themeColor="text1"/>
        </w:rPr>
        <w:br/>
      </w:r>
      <w:r w:rsidRPr="00781112">
        <w:rPr>
          <w:color w:val="000000" w:themeColor="text1"/>
        </w:rPr>
        <w:br/>
        <w:t xml:space="preserve">Furthermore, additional sites will be selected in 2023 based on their ATSI status (subgroup IEP) in the state’s ESSA Plan. The SLT will open the application in the spring and begin working with new sites and personnel in early fall as the next school year begins. These new sites will begin the professional development sequence at the beginning, progressing to instructional coaching support the following year. </w:t>
      </w:r>
      <w:r w:rsidRPr="00781112">
        <w:rPr>
          <w:color w:val="000000" w:themeColor="text1"/>
        </w:rPr>
        <w:br/>
      </w:r>
      <w:r w:rsidRPr="00781112">
        <w:rPr>
          <w:color w:val="000000" w:themeColor="text1"/>
        </w:rPr>
        <w:br/>
        <w:t xml:space="preserve">The implementation of instructional coaching will begin in the 2023-24 school year. The supporting infrastructure, protocols and procedures are currently being developed to support implementation. The coaching module will follow Jim Knight’s Instructional Coaching methods and collect measurable data on IMPACT cycles and PEERs goals (both defined through Jim Knight’s training). The application for instructional coaching will be available for sites no later than March 2023. Sites and individuals will be selected based on rubric criteria no later than June 2023. Coaching will begin August 2023 and each cohort will run for 5 semesters or 2.5 school years. Cohort 2 will begin on a similar timeline beginning in 2024. Through coaching, a goal will be established, strategies will be implemented, and progress will be monitored. </w:t>
      </w:r>
      <w:r w:rsidRPr="00781112">
        <w:rPr>
          <w:color w:val="000000" w:themeColor="text1"/>
        </w:rPr>
        <w:br/>
      </w:r>
      <w:r w:rsidRPr="00781112">
        <w:rPr>
          <w:color w:val="000000" w:themeColor="text1"/>
        </w:rPr>
        <w:br/>
        <w:t>The SLT expects the following outcomes to be partially achieved in 2023, but most gains will be realized later in the coaching cycle. Data will be collected through the quantity and quality of goals met, cycles started and completed, attendance data, and assessment data outcomes. Overall, instructional coaching will support selected educators to evaluate and improve their teaching practices as it relates to the SiMR.</w:t>
      </w:r>
      <w:r w:rsidRPr="00781112">
        <w:rPr>
          <w:color w:val="000000" w:themeColor="text1"/>
        </w:rPr>
        <w:br/>
      </w:r>
      <w:r w:rsidRPr="00781112">
        <w:rPr>
          <w:color w:val="000000" w:themeColor="text1"/>
        </w:rPr>
        <w:br/>
        <w:t>Activity: Instructional coaching will lead to improved teaching outcomes.</w:t>
      </w:r>
      <w:r w:rsidRPr="00781112">
        <w:rPr>
          <w:color w:val="000000" w:themeColor="text1"/>
        </w:rPr>
        <w:br/>
        <w:t>Outcome 3.1: Participants receiving coaching support will participate in weekly and monthly support.</w:t>
      </w:r>
      <w:r w:rsidRPr="00781112">
        <w:rPr>
          <w:color w:val="000000" w:themeColor="text1"/>
        </w:rPr>
        <w:br/>
        <w:t>Outcome 3.2: Participants receiving coaching will increase implementation of teaching strategies.</w:t>
      </w:r>
      <w:r w:rsidRPr="00781112">
        <w:rPr>
          <w:color w:val="000000" w:themeColor="text1"/>
        </w:rPr>
        <w:br/>
      </w:r>
      <w:r w:rsidRPr="00781112">
        <w:rPr>
          <w:color w:val="000000" w:themeColor="text1"/>
        </w:rPr>
        <w:br/>
        <w:t>Activity: Instructional coaching will lead to improved student outcomes.</w:t>
      </w:r>
      <w:r w:rsidRPr="00781112">
        <w:rPr>
          <w:color w:val="000000" w:themeColor="text1"/>
        </w:rPr>
        <w:br/>
        <w:t>Outcome 4.1: Participants receiving coaching will demonstrate a change in teaching strategies from the beginning of the year to the end of the year.</w:t>
      </w:r>
      <w:r w:rsidRPr="00781112">
        <w:rPr>
          <w:color w:val="000000" w:themeColor="text1"/>
        </w:rPr>
        <w:br/>
        <w:t>Outcome 4.2: Participants receiving coaching will demonstrate student outcome change based on impact cycle instructional changes.</w:t>
      </w:r>
    </w:p>
    <w:p w14:paraId="0555DA84" w14:textId="3045F812" w:rsidR="00C87801" w:rsidRDefault="00C87801" w:rsidP="00AE1972">
      <w:pPr>
        <w:rPr>
          <w:color w:val="000000" w:themeColor="text1"/>
        </w:rPr>
      </w:pPr>
    </w:p>
    <w:p w14:paraId="6D882D9B" w14:textId="77777777" w:rsidR="00987BD2" w:rsidRDefault="00987BD2" w:rsidP="00987BD2">
      <w:pPr>
        <w:rPr>
          <w:b/>
          <w:bCs/>
        </w:rPr>
      </w:pPr>
      <w:r w:rsidRPr="00730C62">
        <w:rPr>
          <w:b/>
          <w:bCs/>
        </w:rPr>
        <w:t>Does the State intend to continue implementing the SSIP without modifications? (yes/no)</w:t>
      </w:r>
    </w:p>
    <w:p w14:paraId="1C4A7F35" w14:textId="77777777" w:rsidR="00987BD2" w:rsidRDefault="00987BD2" w:rsidP="00987BD2">
      <w:r w:rsidRPr="00781112">
        <w:t>YES</w:t>
      </w:r>
    </w:p>
    <w:p w14:paraId="37EC807A" w14:textId="77777777" w:rsidR="00987BD2" w:rsidRPr="00730C62" w:rsidRDefault="00987BD2" w:rsidP="00987BD2">
      <w:pPr>
        <w:rPr>
          <w:b/>
          <w:bCs/>
        </w:rPr>
      </w:pPr>
      <w:r w:rsidRPr="00730C62">
        <w:rPr>
          <w:b/>
          <w:bCs/>
          <w:szCs w:val="16"/>
        </w:rPr>
        <w:t>If yes, describe how evaluation data support the decision to implement without any modifications to the SSIP.</w:t>
      </w:r>
    </w:p>
    <w:p w14:paraId="0709A4EF" w14:textId="77777777" w:rsidR="00987BD2" w:rsidRDefault="00987BD2" w:rsidP="00987BD2">
      <w:r w:rsidRPr="00781112">
        <w:t xml:space="preserve">At this time the full scope of the SSIP has not been fully implemented and the modifications to alter the SSIP would not be conducive to the completion of the current plan. </w:t>
      </w:r>
      <w:r w:rsidRPr="00781112">
        <w:br/>
      </w:r>
      <w:r w:rsidRPr="00781112">
        <w:br/>
        <w:t xml:space="preserve">Slight implementation modifications were made to ensure the alignment to the previously reported intentions. Due to the delayed Office of Accountability’s timeline for designating ATSI sites, adjustments to the pilot year were necessary. Designations are made on a rolling three-year basis, but a contracted group makes the scoring calculations with data provided by the state. That contractor has delayed issuing its site findings and designations. . Selected sites for the pilot year may or may not remain in the selected designation subgroup for the upcoming year. However, to support the sustainability of the project and its scaling-up goals, the SLT has determined that these school sites will continue piloting the program regardless of the new designation. This decision was made to allow the cohort to experience the e-learning platform authentically and to allow for slight adjustments before the second cohort participates (this upcoming August). </w:t>
      </w:r>
      <w:r w:rsidRPr="00781112">
        <w:br/>
      </w:r>
      <w:r w:rsidRPr="00781112">
        <w:br/>
        <w:t>In the prior year’s report, the SLT did not frame how families might be engaged through the project. Upon meeting with a national TA center, the SLT decided to embed more authentic family engagement practices earlier into the sequenced plan. The modules now include a piece to support at-home learning and the SLT created newsletters to support families of students in classrooms with participating educators that highlight one evidence-based practice that can be done at home. The timeline for distributing information about each highlighted practice is aligned to the strategy the educator learned in the previous month. The intention is to support students at home as well as in school.</w:t>
      </w:r>
    </w:p>
    <w:p w14:paraId="074AA68E" w14:textId="77777777" w:rsidR="00987BD2" w:rsidRPr="00781112" w:rsidRDefault="00987BD2" w:rsidP="00AE1972">
      <w:pPr>
        <w:rPr>
          <w:color w:val="000000" w:themeColor="text1"/>
        </w:rPr>
      </w:pPr>
    </w:p>
    <w:p w14:paraId="4216CFE7" w14:textId="77777777" w:rsidR="00C2635F" w:rsidRPr="00781112" w:rsidRDefault="00C2635F" w:rsidP="00AE1972">
      <w:pPr>
        <w:rPr>
          <w:b/>
          <w:bCs/>
        </w:rPr>
      </w:pPr>
    </w:p>
    <w:p w14:paraId="7350AAE8" w14:textId="77777777" w:rsidR="00C2635F" w:rsidRPr="00781112" w:rsidRDefault="00AE1972" w:rsidP="00AE1972">
      <w:pPr>
        <w:rPr>
          <w:rFonts w:cs="Arial"/>
          <w:b/>
          <w:bCs/>
        </w:rPr>
      </w:pPr>
      <w:r w:rsidRPr="00781112">
        <w:rPr>
          <w:rFonts w:cs="Arial"/>
          <w:b/>
          <w:bCs/>
        </w:rPr>
        <w:t>Section C: Stakeholder Engagement</w:t>
      </w:r>
    </w:p>
    <w:p w14:paraId="7EBFA7EE" w14:textId="77777777" w:rsidR="00C2635F" w:rsidRPr="00781112" w:rsidRDefault="00C2635F" w:rsidP="00C2635F">
      <w:pPr>
        <w:pStyle w:val="Bold"/>
        <w:rPr>
          <w:color w:val="000000" w:themeColor="text1"/>
        </w:rPr>
      </w:pPr>
      <w:r w:rsidRPr="00781112">
        <w:rPr>
          <w:color w:val="000000" w:themeColor="text1"/>
        </w:rPr>
        <w:t>Description of Stakeholder Input</w:t>
      </w:r>
    </w:p>
    <w:p w14:paraId="613D691C" w14:textId="77777777" w:rsidR="00C2635F" w:rsidRPr="00781112" w:rsidRDefault="00C2635F" w:rsidP="00C2635F">
      <w:pPr>
        <w:pStyle w:val="Bold"/>
        <w:rPr>
          <w:b w:val="0"/>
          <w:color w:val="000000" w:themeColor="text1"/>
        </w:rPr>
      </w:pPr>
      <w:r w:rsidRPr="00781112">
        <w:rPr>
          <w:rFonts w:cs="Arial"/>
          <w:b w:val="0"/>
          <w:color w:val="000000" w:themeColor="text1"/>
          <w:szCs w:val="16"/>
        </w:rPr>
        <w:t xml:space="preserve">During the month of January 2022, meetings were held with internal stakeholders to communicate effectively to the new program specialist lead. Following the discussions regarding the timeline for ATSI designation (originally to be announced December/January 2022/2023), it was determined that this new timeline impacts the original delivery model for implementation of tier 2 and 3 deliveries. Since the former designations will remain until the new designations are announced, the team considered implementing (tier 2) professional development supports to the ‘current’ designations in the fall of 2022. Therefore, the SSIP team began drafting optional timelines to present to stakeholders for feedback. </w:t>
      </w:r>
      <w:r w:rsidRPr="00781112">
        <w:rPr>
          <w:rFonts w:cs="Arial"/>
          <w:b w:val="0"/>
          <w:color w:val="000000" w:themeColor="text1"/>
          <w:szCs w:val="16"/>
        </w:rPr>
        <w:br/>
      </w:r>
      <w:r w:rsidRPr="00781112">
        <w:rPr>
          <w:rFonts w:cs="Arial"/>
          <w:b w:val="0"/>
          <w:color w:val="000000" w:themeColor="text1"/>
          <w:szCs w:val="16"/>
        </w:rPr>
        <w:br/>
        <w:t xml:space="preserve">Beginning in February 2022, the SSIP leadership team drafted three professional development (tier 2) options and began scheduling meetings to present and receive feedback on the proposed options. The SSIP leadership team met with internal stakeholders to gauge feedback on the proposal. Revisions were made based on the feedback received. Specific changes included: inviting library media specialists and reading interventionists to the audience of sequenced PD, naming the Science of Reading modules for clarity, and discussions regarding capacity for completion. </w:t>
      </w:r>
      <w:r w:rsidRPr="00781112">
        <w:rPr>
          <w:rFonts w:cs="Arial"/>
          <w:b w:val="0"/>
          <w:color w:val="000000" w:themeColor="text1"/>
          <w:szCs w:val="16"/>
        </w:rPr>
        <w:br/>
      </w:r>
      <w:r w:rsidRPr="00781112">
        <w:rPr>
          <w:rFonts w:cs="Arial"/>
          <w:b w:val="0"/>
          <w:color w:val="000000" w:themeColor="text1"/>
          <w:szCs w:val="16"/>
        </w:rPr>
        <w:br/>
        <w:t>March 2022 provided an opportunity to connect with the community regarding the implementation framework of the SSIP. Community connections occurred in a variety of ways: fliyers were distributed regarding the framework of the SSIP during the “People with Disabilities Awareness Day” and the “Joining Forces” conference, an ATSI stakeholder meeting provided in depth discussion regarding professional development sequencing, and a planning survey provided feedback regarding professional development options. More details about these latter two engagement activities is shared just below.</w:t>
      </w:r>
      <w:r w:rsidRPr="00781112">
        <w:rPr>
          <w:rFonts w:cs="Arial"/>
          <w:b w:val="0"/>
          <w:color w:val="000000" w:themeColor="text1"/>
          <w:szCs w:val="16"/>
        </w:rPr>
        <w:br/>
      </w:r>
      <w:r w:rsidRPr="00781112">
        <w:rPr>
          <w:rFonts w:cs="Arial"/>
          <w:b w:val="0"/>
          <w:color w:val="000000" w:themeColor="text1"/>
          <w:szCs w:val="16"/>
        </w:rPr>
        <w:br/>
        <w:t xml:space="preserve">Toward the beginning of April, the team schedule a stakeholder meeting with a set of school personnel at some of the currently designated ATSI sites to present the proposed options and receive feedback. Out of five participants registered, only one attended. A related planning survey was shared with ATSI site personnel, which closed in mid-April with 23 responses. The SLT used the feedback provided by respondents to determine which PD module schedule to implement. The team also used the feedback to schedule the data retreat in the Fall of 2022, professional development in August 2022, and instructional coaching in August 2023. </w:t>
      </w:r>
      <w:r w:rsidRPr="00781112">
        <w:rPr>
          <w:rFonts w:cs="Arial"/>
          <w:b w:val="0"/>
          <w:color w:val="000000" w:themeColor="text1"/>
          <w:szCs w:val="16"/>
        </w:rPr>
        <w:br/>
      </w:r>
      <w:r w:rsidRPr="00781112">
        <w:rPr>
          <w:rFonts w:cs="Arial"/>
          <w:b w:val="0"/>
          <w:color w:val="000000" w:themeColor="text1"/>
          <w:szCs w:val="16"/>
        </w:rPr>
        <w:br/>
        <w:t>The SSIP website has been continuously updated to include new flyers and listserv information. The SSIP Lead created a video promo to send out prior to the implementation of the professional development sequence. The intended outcome of the video is increased understanding of the SSIP, the supports available, and determinations of eligibility. An interest registration link was added to the website, to document schools that are interested in the programming, ensure adequate capacity, and preference to designated sites.</w:t>
      </w:r>
      <w:r w:rsidRPr="00781112">
        <w:rPr>
          <w:rFonts w:cs="Arial"/>
          <w:b w:val="0"/>
          <w:color w:val="000000" w:themeColor="text1"/>
          <w:szCs w:val="16"/>
        </w:rPr>
        <w:br/>
        <w:t xml:space="preserve">Upon the beginning of the program, the SLT continued conversations with the participating sites and have continued conversations regarding the implementation of the next cohort for the tier 2 professional development sequence and the tier 3 instructional coaching. </w:t>
      </w:r>
    </w:p>
    <w:p w14:paraId="0227ECF0" w14:textId="4A877DBA" w:rsidR="00AE1972" w:rsidRPr="00781112" w:rsidRDefault="00AE1972" w:rsidP="00AE1972">
      <w:pPr>
        <w:rPr>
          <w:rFonts w:cs="Arial"/>
          <w:b/>
          <w:bCs/>
        </w:rPr>
      </w:pPr>
      <w:r w:rsidRPr="00781112">
        <w:rPr>
          <w:rFonts w:cs="Arial"/>
          <w:b/>
          <w:bCs/>
        </w:rPr>
        <w:t xml:space="preserve"> Describe the specific strategies implemented to engage stakeholders in key improvement efforts. </w:t>
      </w:r>
    </w:p>
    <w:p w14:paraId="50B976D9" w14:textId="4AEF384A" w:rsidR="00AE1972" w:rsidRPr="00781112" w:rsidRDefault="00AE1972" w:rsidP="00AE1972">
      <w:pPr>
        <w:rPr>
          <w:b/>
          <w:bCs/>
        </w:rPr>
      </w:pPr>
      <w:r w:rsidRPr="00781112">
        <w:rPr>
          <w:color w:val="000000" w:themeColor="text1"/>
        </w:rPr>
        <w:t>Specific strategies included meetings with stakeholders, sharing videos, flyers, emails, and social media information. Feedback was received through discussions, voting and polls, and specific conversations.</w:t>
      </w:r>
    </w:p>
    <w:p w14:paraId="0E7119BD"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23F53104" w14:textId="7B375F38" w:rsidR="00AE1972" w:rsidRDefault="00AE1972" w:rsidP="00AE1972">
      <w:pPr>
        <w:rPr>
          <w:color w:val="000000" w:themeColor="text1"/>
        </w:rPr>
      </w:pPr>
      <w:r w:rsidRPr="00781112">
        <w:rPr>
          <w:color w:val="000000" w:themeColor="text1"/>
        </w:rPr>
        <w:t>YES</w:t>
      </w:r>
    </w:p>
    <w:p w14:paraId="106639A0" w14:textId="39A5DE64" w:rsidR="00AE1972" w:rsidRPr="00781112" w:rsidRDefault="00C2635F" w:rsidP="00AE1972">
      <w:pPr>
        <w:rPr>
          <w:rFonts w:cs="Arial"/>
          <w:b/>
          <w:bCs/>
        </w:rPr>
      </w:pPr>
      <w:r w:rsidRPr="00781112">
        <w:rPr>
          <w:rFonts w:cs="Arial"/>
          <w:b/>
          <w:bCs/>
        </w:rPr>
        <w:t xml:space="preserve">Describe how the State addressed the concerns expressed by stakeholders. </w:t>
      </w:r>
    </w:p>
    <w:p w14:paraId="3CBD7A6E" w14:textId="0BCE4D81" w:rsidR="00AE1972" w:rsidRDefault="00AE1972" w:rsidP="00AE1972">
      <w:pPr>
        <w:rPr>
          <w:color w:val="000000" w:themeColor="text1"/>
        </w:rPr>
      </w:pPr>
      <w:r w:rsidRPr="00781112">
        <w:rPr>
          <w:color w:val="000000" w:themeColor="text1"/>
        </w:rPr>
        <w:t xml:space="preserve">Stakeholders desired access to the full tiered support structure when they were not within the designation determination. The state made the universal supports content available for all stakeholders to access throughout the duration of the SSIP. </w:t>
      </w:r>
    </w:p>
    <w:p w14:paraId="4C0E967E" w14:textId="77777777" w:rsidR="00AE1972" w:rsidRPr="00781112" w:rsidRDefault="00AE1972" w:rsidP="00AE1972">
      <w:pPr>
        <w:rPr>
          <w:rFonts w:cs="Arial"/>
          <w:b/>
          <w:bCs/>
        </w:rPr>
      </w:pPr>
    </w:p>
    <w:p w14:paraId="66B03304" w14:textId="77777777" w:rsidR="00AE1972" w:rsidRPr="00781112" w:rsidRDefault="00AE1972" w:rsidP="00AE1972">
      <w:pPr>
        <w:rPr>
          <w:rFonts w:cstheme="minorHAnsi"/>
          <w:b/>
          <w:bCs/>
        </w:rPr>
      </w:pPr>
      <w:r w:rsidRPr="00781112">
        <w:rPr>
          <w:rFonts w:cstheme="minorHAnsi"/>
          <w:b/>
          <w:bCs/>
        </w:rPr>
        <w:t>Additional Implementation Activities</w:t>
      </w:r>
    </w:p>
    <w:p w14:paraId="10A21917" w14:textId="46068090" w:rsidR="00AE1972" w:rsidRPr="00781112" w:rsidRDefault="00AE1972" w:rsidP="00AE1972">
      <w:pPr>
        <w:rPr>
          <w:b/>
          <w:bCs/>
        </w:rPr>
      </w:pPr>
      <w:r w:rsidRPr="00781112">
        <w:rPr>
          <w:b/>
          <w:bCs/>
        </w:rPr>
        <w:t>List any activities not already described that the State intends to implement in the next fiscal year that are related to the SiMR.</w:t>
      </w:r>
    </w:p>
    <w:p w14:paraId="35A94BC4" w14:textId="6D7D4D2A" w:rsidR="00AE1972" w:rsidRPr="00781112" w:rsidRDefault="00AE1972" w:rsidP="00AE1972">
      <w:pPr>
        <w:rPr>
          <w:color w:val="000000" w:themeColor="text1"/>
        </w:rPr>
      </w:pPr>
    </w:p>
    <w:p w14:paraId="3ACC71D3"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SiMR. </w:t>
      </w:r>
    </w:p>
    <w:p w14:paraId="50377A67" w14:textId="7B063CE4" w:rsidR="00AE1972" w:rsidRPr="00781112" w:rsidRDefault="00AE1972" w:rsidP="00AE1972">
      <w:pPr>
        <w:rPr>
          <w:color w:val="000000" w:themeColor="text1"/>
        </w:rPr>
      </w:pPr>
    </w:p>
    <w:p w14:paraId="7B5F9795" w14:textId="77777777" w:rsidR="00AE1972" w:rsidRPr="00781112" w:rsidRDefault="00AE1972" w:rsidP="00AE1972">
      <w:pPr>
        <w:rPr>
          <w:color w:val="000000" w:themeColor="text1"/>
        </w:rPr>
      </w:pPr>
    </w:p>
    <w:p w14:paraId="1D472AFD"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4E48E920" w14:textId="395AE1C0" w:rsidR="00AE1972" w:rsidRPr="00781112" w:rsidRDefault="00AE1972" w:rsidP="00AE1972">
      <w:pPr>
        <w:rPr>
          <w:color w:val="000000" w:themeColor="text1"/>
        </w:rPr>
      </w:pPr>
      <w:r w:rsidRPr="00781112">
        <w:rPr>
          <w:color w:val="000000" w:themeColor="text1"/>
        </w:rPr>
        <w:t xml:space="preserve">As described briefly in prior sections, the delayed announcement of this cycle’s Additionally Targeted Support and Improvement (ATSI) designated sites has been a significant barrier to the previously reported timelines and sequence. The SLT anticipated ATSI sites to be determined in the 2022 year to match the timeline of the tier 2 professional development sequence. However, the designations were adjusted to be announced December 2022 or January 2023 (and are now more delayed). If the implementation had been delayed to coincide with the new designations, no sites would have been served for more than a year. The team determined that a pilot year would be appropriate to test the implementation of the PD sequence, supporting current ATSI designated schools even though they may not remain designated in the next cohort. As of December 2022, additional barriers to the rollout for this designation have met ‘unforeseen circumstances’ that will likely delay the next rollout until the spring of 2023. The SLT team has coordinated efforts with the Office of School Support to participate in the regional meetings once designations are announced to ensure that adequate information regarding SSIP participation and opportunities are offered efficiently. </w:t>
      </w:r>
      <w:r w:rsidRPr="00781112">
        <w:rPr>
          <w:color w:val="000000" w:themeColor="text1"/>
        </w:rPr>
        <w:br/>
      </w:r>
      <w:r w:rsidRPr="00781112">
        <w:rPr>
          <w:color w:val="000000" w:themeColor="text1"/>
        </w:rPr>
        <w:br/>
        <w:t xml:space="preserve">An additional barrier to the ATSI group rests on the incorrect prior assumption that these specific sites would be required to participate in the SSIP. Continued School Improvement (CSI) sites are required to complete plans of improvement while ATSI are not. The SSIP was developed to meet their need for support, but because of those sites’ ability to participate voluntarily,  the SLT did not have the widespread participation that was expected. </w:t>
      </w:r>
      <w:r w:rsidRPr="00781112">
        <w:rPr>
          <w:color w:val="000000" w:themeColor="text1"/>
        </w:rPr>
        <w:br/>
      </w:r>
      <w:r w:rsidRPr="00781112">
        <w:rPr>
          <w:color w:val="000000" w:themeColor="text1"/>
        </w:rPr>
        <w:br/>
        <w:t xml:space="preserve">The delayed announcement of the next set of ATSI sites has also negatively affected participation. The SLT is working closely with the Office of School Support to align with the designation timeline and provide a quick response once designations are made. The anticipated outcome is that these newly identified sites will begin participation quickly and with more urgency than the previous cohort. </w:t>
      </w:r>
      <w:r w:rsidRPr="00781112">
        <w:rPr>
          <w:color w:val="000000" w:themeColor="text1"/>
        </w:rPr>
        <w:br/>
      </w:r>
      <w:r w:rsidRPr="00781112">
        <w:rPr>
          <w:color w:val="000000" w:themeColor="text1"/>
        </w:rPr>
        <w:br/>
        <w:t xml:space="preserve">Also, as described briefly in prior sections, the agency wide MTSS leadership team suffered substantial staff turnover that has required the team to conduct refocusing activities to align with the previously reported purposes of the team. The SLT is working closely with the SPDG and the Office of Student support (who are active leaders on the team) to ensure that previously reported outcomes are still attainable. In addition, some outcomes that were defined as MTSS team activities were implemented by the SLT to ensure completion. In the next reporting period, the SLT anticipates that procedures and protocols can be adjusted to return the activities to be managed by the  MTSS leadership team. </w:t>
      </w:r>
    </w:p>
    <w:p w14:paraId="5E2459D3" w14:textId="77777777" w:rsidR="00AE1972" w:rsidRPr="00781112" w:rsidRDefault="00AE1972" w:rsidP="00AE1972">
      <w:pPr>
        <w:rPr>
          <w:rFonts w:cs="Arial"/>
          <w:b/>
          <w:bCs/>
        </w:rPr>
      </w:pPr>
    </w:p>
    <w:p w14:paraId="3396CE64" w14:textId="77777777" w:rsidR="00AE1972" w:rsidRPr="00781112" w:rsidRDefault="00AE1972" w:rsidP="00AE1972">
      <w:pPr>
        <w:rPr>
          <w:rFonts w:cs="Arial"/>
          <w:b/>
          <w:bCs/>
        </w:rPr>
      </w:pPr>
      <w:r w:rsidRPr="00781112">
        <w:rPr>
          <w:rFonts w:cs="Arial"/>
          <w:b/>
          <w:bCs/>
        </w:rPr>
        <w:t>Provide additional information about this indicator (optional).</w:t>
      </w:r>
    </w:p>
    <w:p w14:paraId="3B78AAE5" w14:textId="1BDEAF09" w:rsidR="00AE1972" w:rsidRPr="00781112" w:rsidRDefault="00AE1972" w:rsidP="00AE1972">
      <w:pPr>
        <w:rPr>
          <w:color w:val="000000" w:themeColor="text1"/>
        </w:rPr>
      </w:pPr>
      <w:r w:rsidRPr="00781112">
        <w:rPr>
          <w:color w:val="000000" w:themeColor="text1"/>
        </w:rPr>
        <w:t>References and citations regarding information used and provided to educators through the SSIP have been listed below.</w:t>
      </w:r>
      <w:r w:rsidRPr="00781112">
        <w:rPr>
          <w:color w:val="000000" w:themeColor="text1"/>
        </w:rPr>
        <w:br/>
      </w:r>
      <w:r w:rsidRPr="00781112">
        <w:rPr>
          <w:color w:val="000000" w:themeColor="text1"/>
        </w:rPr>
        <w:br/>
        <w:t>5-15-45 Tool. (n.d.). https://tiescenter.org/topics/inclusive-instruction/5-15-45-tool</w:t>
      </w:r>
      <w:r w:rsidRPr="00781112">
        <w:rPr>
          <w:color w:val="000000" w:themeColor="text1"/>
        </w:rPr>
        <w:br/>
        <w:t xml:space="preserve">Baranek, A., Fienup, D. M., &amp; Pace, G. (2011). Brief experimental analysis of sight word interventions: A comparison of acquisition and maintenance of directed interventions. Behavior Modification, 35(1), 78-94. </w:t>
      </w:r>
      <w:r w:rsidRPr="00781112">
        <w:rPr>
          <w:color w:val="000000" w:themeColor="text1"/>
        </w:rPr>
        <w:br/>
        <w:t>Buczynski, S. &amp; Hansen, C. B. (2010). Impact of professional development on teacher practice: Uncovering connections. Teaching and Teacher Education, 26(3), 606.</w:t>
      </w:r>
      <w:r w:rsidRPr="00781112">
        <w:rPr>
          <w:color w:val="000000" w:themeColor="text1"/>
        </w:rPr>
        <w:br/>
        <w:t xml:space="preserve">Burkins, J. M., &amp; Yates, K. (2022). Shifting the balance: 6 ways to bring the science of reading into the balanced literacy classroom. Hawker Brownlow Education. </w:t>
      </w:r>
      <w:r w:rsidRPr="00781112">
        <w:rPr>
          <w:color w:val="000000" w:themeColor="text1"/>
        </w:rPr>
        <w:br/>
        <w:t>Call and Response. (n.d.). Goalbook Toolkit. https://goalbookapp.com/toolkit/v/strategy/call-and-response%E2%80%8B</w:t>
      </w:r>
      <w:r w:rsidRPr="00781112">
        <w:rPr>
          <w:color w:val="000000" w:themeColor="text1"/>
        </w:rPr>
        <w:br/>
        <w:t>Cooper, K. M., Schinske, J. N., &amp; Tanner, K. D. (2021). Reconsidering the Share of a Think-Pair-Share: Emerging Limitations, Alternatives, and Opportunities for Research. CBE life sciences education, 20(1), fe1. https://doi.org/10.1187/cbe.20-08-0200</w:t>
      </w:r>
      <w:r w:rsidRPr="00781112">
        <w:rPr>
          <w:color w:val="000000" w:themeColor="text1"/>
        </w:rPr>
        <w:br/>
        <w:t xml:space="preserve">Darling-Hammond, L., Wei, R. C., Andree, A., Richardson, N., &amp; Orphanos, S. (2009). Professional learning in the learning profession. Washington, DC: National Staff Development Council </w:t>
      </w:r>
      <w:r w:rsidRPr="00781112">
        <w:rPr>
          <w:color w:val="000000" w:themeColor="text1"/>
        </w:rPr>
        <w:br/>
        <w:t xml:space="preserve">Desimone, L. M. (2009). Improving impact studies of teachers’ professional development: Toward better conceptualizations and measures. Educational researcher, 38(3), 181–199. </w:t>
      </w:r>
      <w:r w:rsidRPr="00781112">
        <w:rPr>
          <w:color w:val="000000" w:themeColor="text1"/>
        </w:rPr>
        <w:br/>
        <w:t>Effective Teacher Professional Development (research brief) (learningpolicyinstitute.org)</w:t>
      </w:r>
      <w:r w:rsidRPr="00781112">
        <w:rPr>
          <w:color w:val="000000" w:themeColor="text1"/>
        </w:rPr>
        <w:br/>
        <w:t>Elkonin Boxes | Reading Rockets. (n.d.). Elkonin Boxes. https://www.readingrockets.org/strategies/elkonin_boxes and https://bogglesworldesl.com/elkonin_boxes.htm</w:t>
      </w:r>
      <w:r w:rsidRPr="00781112">
        <w:rPr>
          <w:color w:val="000000" w:themeColor="text1"/>
        </w:rPr>
        <w:br/>
        <w:t>Greene, K. (n.d.). Elkonin Sound Boxes: An Evidence-Based Literacy Strategy. https://www.understood.org/en/articles/evidence-based-literacy-strategy-elkonin-sound-boxes</w:t>
      </w:r>
      <w:r w:rsidRPr="00781112">
        <w:rPr>
          <w:color w:val="000000" w:themeColor="text1"/>
        </w:rPr>
        <w:br/>
        <w:t>Foorman, B. R., &amp; Al Otaiba, S. (2009). Reading remediation: State of the art. In K. Pugh &amp; P. McCardle (Eds.), How children learn to read: Current issues and new directions in the integration of cognition, neurobiology and genetics of reading and dyslexia research and practice (pp. 257–274). New York, NY: Psychology Press.</w:t>
      </w:r>
      <w:r w:rsidRPr="00781112">
        <w:rPr>
          <w:color w:val="000000" w:themeColor="text1"/>
        </w:rPr>
        <w:br/>
        <w:t>Foorman, B. R., Breier, J. I., &amp; Fletcher, J. M. (2003). Interventions aimed at improving reading success: An evidence-based approach. Developmental Neuropsychology, 24(2–3), 613–639</w:t>
      </w:r>
      <w:r w:rsidRPr="00781112">
        <w:rPr>
          <w:color w:val="000000" w:themeColor="text1"/>
        </w:rPr>
        <w:br/>
        <w:t>Graphic Organizers to Help Kids with Writing. (n.d.). https://www.readingrockets.org/article/graphic-organizers-help-kids-writing</w:t>
      </w:r>
      <w:r w:rsidRPr="00781112">
        <w:rPr>
          <w:color w:val="000000" w:themeColor="text1"/>
        </w:rPr>
        <w:br/>
        <w:t xml:space="preserve">Haager, D., Dimino, J. A., &amp; Windmueller, M. P. (2007). Cover, Copy, &amp; Compare (CCC) Spelling, Vocabulary, &amp; Word ID &gt; Reading Tools &gt; Intervention Tools &gt; NYS RtI MS DP.  https://nysrti.org/intervention-tools/reading-tools/tool:ccc/ </w:t>
      </w:r>
      <w:r w:rsidRPr="00781112">
        <w:rPr>
          <w:color w:val="000000" w:themeColor="text1"/>
        </w:rPr>
        <w:br/>
        <w:t>How To: Master Spelling or Sight Words: Cover-Copy-Compare | Intervention Central. (n.d.). https://www.interventioncentral.org/academic-interventions/writing/how-master-spelling-or-sight-words-cover-copy-compare</w:t>
      </w:r>
      <w:r w:rsidRPr="00781112">
        <w:rPr>
          <w:color w:val="000000" w:themeColor="text1"/>
        </w:rPr>
        <w:br/>
        <w:t>Interventions for children's language and literacy difficulties (nih.gov)</w:t>
      </w:r>
      <w:r w:rsidRPr="00781112">
        <w:rPr>
          <w:color w:val="000000" w:themeColor="text1"/>
        </w:rPr>
        <w:br/>
        <w:t>IEP Planning: Accommodations &amp; Modifications - Smart Kids (smartkidswithld.org)</w:t>
      </w:r>
      <w:r w:rsidRPr="00781112">
        <w:rPr>
          <w:color w:val="000000" w:themeColor="text1"/>
        </w:rPr>
        <w:br/>
        <w:t>Kame'enui, E. and Simmons, D. (1999). Toward Successful Inclusion of Students with Disabilities: The architecture of instruction. (ERIC/OSEP Mini Library on Adapting Curricular Materials, Vol. 1). Reston, VA: ERIC Clearinghouse on Disabilities and Gifted Education.</w:t>
      </w:r>
      <w:r w:rsidRPr="00781112">
        <w:rPr>
          <w:color w:val="000000" w:themeColor="text1"/>
        </w:rPr>
        <w:br/>
        <w:t>Killian, S. (2021, September 27). The I Do WE Do YOU Do Model Explained. Evidence-Based Teaching. https://www.evidencebasedteaching.org.au/the-i-do-we-do-you-do-model-explained/</w:t>
      </w:r>
      <w:r w:rsidRPr="00781112">
        <w:rPr>
          <w:color w:val="000000" w:themeColor="text1"/>
        </w:rPr>
        <w:br/>
        <w:t xml:space="preserve">Knight, J. (2015). Jim Knight’s Better Conversations Bundle. SAGE Publications. </w:t>
      </w:r>
      <w:r w:rsidRPr="00781112">
        <w:rPr>
          <w:color w:val="000000" w:themeColor="text1"/>
        </w:rPr>
        <w:br/>
        <w:t xml:space="preserve">Knight, J. (2017). The Impact Cycle: What Instructional Coaches Should Do to Foster Powerful Improvements in Teaching (1st ed.). Corwin. </w:t>
      </w:r>
      <w:r w:rsidRPr="00781112">
        <w:rPr>
          <w:color w:val="000000" w:themeColor="text1"/>
        </w:rPr>
        <w:br/>
        <w:t xml:space="preserve">Knight, J. (2021c). The Definitive Guide to Instructional Coaching: Seven Factors for Success. ASCD. </w:t>
      </w:r>
      <w:r w:rsidRPr="00781112">
        <w:rPr>
          <w:color w:val="000000" w:themeColor="text1"/>
        </w:rPr>
        <w:br/>
        <w:t xml:space="preserve">Knight, J., Hoffman, A., Harris, M., &amp; Thomas, S. (2020). The Instructional Playbook: The Missing Link for Translating Research into Practice. ASCD. </w:t>
      </w:r>
      <w:r w:rsidRPr="00781112">
        <w:rPr>
          <w:color w:val="000000" w:themeColor="text1"/>
        </w:rPr>
        <w:br/>
        <w:t>L. (2021, May 10). Checklists and Achievement Charts for Students with Learning Disabilities. Checklists and Achievement Charts for Students with Learning Disabilities. https://www.ldatschool.ca/checklists-achievement-charts/</w:t>
      </w:r>
      <w:r w:rsidRPr="00781112">
        <w:rPr>
          <w:color w:val="000000" w:themeColor="text1"/>
        </w:rPr>
        <w:br/>
        <w:t>Ledford, J.R., Chazin, K.T., Maupin, T.N. (2016). Progressive time delay. In Evidence-based instructional practices for young children with autism and other disabilities. Retrieved from http://ebip.vkcsites.org/progressive-time-delay</w:t>
      </w:r>
      <w:r w:rsidRPr="00781112">
        <w:rPr>
          <w:color w:val="000000" w:themeColor="text1"/>
        </w:rPr>
        <w:br/>
        <w:t xml:space="preserve">Neitzel, J., &amp; Wolery, M. (2009). Steps for implementation: Time delay. Chapel Hill, NC: The National Professional Development Center on Autism Spectrum Disorders, Frank Porter Graham Child Development Institute, The University of North Carolina. </w:t>
      </w:r>
      <w:r w:rsidRPr="00781112">
        <w:rPr>
          <w:color w:val="000000" w:themeColor="text1"/>
        </w:rPr>
        <w:br/>
        <w:t>NICHHD: National Institute of Child Health and Human Development. (2000). Report of the National Reading Panel. Teaching children to read: An evidence-based assessment of the scientific research literature on reading and its implications for reading instruction (NIH Publication No. 00-4769). Washington, DC: U.S. Government Printing Office.</w:t>
      </w:r>
      <w:r w:rsidRPr="00781112">
        <w:rPr>
          <w:color w:val="000000" w:themeColor="text1"/>
        </w:rPr>
        <w:br/>
        <w:t>Phonological Awareness: Blending. (n.d.). Phonological Awareness: Blending. https://intensiveintervention.org/resource/virtual-lesson-example-building-phonological-awareness-elkonin-boxes</w:t>
      </w:r>
      <w:r w:rsidRPr="00781112">
        <w:rPr>
          <w:color w:val="000000" w:themeColor="text1"/>
        </w:rPr>
        <w:br/>
        <w:t xml:space="preserve">Rapp, W. H. (2018). Universal Design for learning in action: 100 ways to teach all learners. Paul H. Brookes Publishing. </w:t>
      </w:r>
      <w:r w:rsidRPr="00781112">
        <w:rPr>
          <w:color w:val="000000" w:themeColor="text1"/>
        </w:rPr>
        <w:br/>
        <w:t xml:space="preserve">Reading Rockets. (2019, August 16). Letter Names with Reese, Kindergartner [Video]. YouTube. https://www.youtube.com/watch?v=VKN3oJVBvEw&amp;t=10s </w:t>
      </w:r>
      <w:r w:rsidRPr="00781112">
        <w:rPr>
          <w:color w:val="000000" w:themeColor="text1"/>
        </w:rPr>
        <w:br/>
        <w:t>Reading Rockets | Story Maps. (n.d.). Reading Rockets | Story Maps. https://www.readingrockets.org/strategies/story_maps</w:t>
      </w:r>
      <w:r w:rsidRPr="00781112">
        <w:rPr>
          <w:color w:val="000000" w:themeColor="text1"/>
        </w:rPr>
        <w:br/>
        <w:t>Reading Rockets | Think-Pair-Share. (n.d.). Reading Rockets | Think-Pair-Share. https://www.readingrockets.org/strategies/think-pair-share</w:t>
      </w:r>
      <w:r w:rsidRPr="00781112">
        <w:rPr>
          <w:color w:val="000000" w:themeColor="text1"/>
        </w:rPr>
        <w:br/>
        <w:t>Rowlands, K. D. (2007). Check It Out! Using Checklists to Support Student Learning. The English Journal, 96(6), 61–66. http://www.jstor.org/stable/30046754</w:t>
      </w:r>
      <w:r w:rsidRPr="00781112">
        <w:rPr>
          <w:color w:val="000000" w:themeColor="text1"/>
        </w:rPr>
        <w:br/>
        <w:t>Rubric Best Practices, Examples, and Templates – Teaching Resources. (n.d.). NC State University. https://teaching-resources.delta.ncsu.edu/rubric_best-practices-examples-templates/</w:t>
      </w:r>
      <w:r w:rsidRPr="00781112">
        <w:rPr>
          <w:color w:val="000000" w:themeColor="text1"/>
        </w:rPr>
        <w:br/>
        <w:t>Rubrics | Feedback &amp; Grading | Teaching Guides | Teaching Commons | DePaul University, Chicago. (n.d.). DePaul University. https://resources.depaul.edu/teaching-commons/teaching-guides/feedback-grading/rubrics/Pages/default.aspx</w:t>
      </w:r>
      <w:r w:rsidRPr="00781112">
        <w:rPr>
          <w:color w:val="000000" w:themeColor="text1"/>
        </w:rPr>
        <w:br/>
        <w:t>Self-study Guide for Implementing Early Literacy Interventions (ed.gov)</w:t>
      </w:r>
      <w:r w:rsidRPr="00781112">
        <w:rPr>
          <w:color w:val="000000" w:themeColor="text1"/>
        </w:rPr>
        <w:br/>
        <w:t>Smekens Education. (2017, January 18). Convert Rubric Scores to Grades [Video]. YouTube. https://www.youtube.com/watch?v=iLfa4QjIP-4</w:t>
      </w:r>
      <w:r w:rsidRPr="00781112">
        <w:rPr>
          <w:color w:val="000000" w:themeColor="text1"/>
        </w:rPr>
        <w:br/>
        <w:t>Step 5: Repetition. (2018, April 1). Evidence Based Teachers Network. https://ebtn.org.uk/repetition/</w:t>
      </w:r>
      <w:r w:rsidRPr="00781112">
        <w:rPr>
          <w:color w:val="000000" w:themeColor="text1"/>
        </w:rPr>
        <w:br/>
        <w:t>The Building Blocks of High-Quality Early Childhood Education Programs (learningpolicyinstitute.org)</w:t>
      </w:r>
      <w:r w:rsidRPr="00781112">
        <w:rPr>
          <w:color w:val="000000" w:themeColor="text1"/>
        </w:rPr>
        <w:br/>
        <w:t>Thomas, S., Knight, J., Harris, M., &amp; Hoffman, A. (2021). Evaluating Instructional Coaching: People, Programs, and Partnership. ASCD.</w:t>
      </w:r>
      <w:r w:rsidRPr="00781112">
        <w:rPr>
          <w:color w:val="000000" w:themeColor="text1"/>
        </w:rPr>
        <w:br/>
        <w:t xml:space="preserve">Types of Rubrics | Rubrics | Feedback &amp; Grading | Teaching Guides | Teaching Commons | DePaul University, Chicago. (n.d.). DePaul University. Retrieved July 25, 2022, from https://resources.depaul.edu/teaching-commons/teaching-guides/feedback-grading/rubrics/Pages/types-of-rubrics.aspx </w:t>
      </w:r>
      <w:r w:rsidRPr="00781112">
        <w:rPr>
          <w:color w:val="000000" w:themeColor="text1"/>
        </w:rPr>
        <w:br/>
        <w:t xml:space="preserve">UDL: Optimize relevance, value, and authenticity. (n.d.). UDL: Optimize Relevance, Value, and Authenticity. https://udlguidelines.cast.org/engagement/recruiting-interest/relevance-value-authenticity </w:t>
      </w:r>
      <w:r w:rsidRPr="00781112">
        <w:rPr>
          <w:color w:val="000000" w:themeColor="text1"/>
        </w:rPr>
        <w:br/>
        <w:t>UDL Online Video Case Stories - UDL-Universe: A Comprehensive Faculty Development Guide - LibGuides at Ensuring Access through Collaboration &amp; Technology (sonoma.edu)</w:t>
      </w:r>
      <w:r w:rsidRPr="00781112">
        <w:rPr>
          <w:color w:val="000000" w:themeColor="text1"/>
        </w:rPr>
        <w:br/>
        <w:t>Universal Design - UDL-Universe: A Comprehensive Faculty Development Guide - LibGuides at Ensuring Access through Collaboration &amp; Technology (sonoma.edu)</w:t>
      </w:r>
      <w:r w:rsidRPr="00781112">
        <w:rPr>
          <w:color w:val="000000" w:themeColor="text1"/>
        </w:rPr>
        <w:br/>
        <w:t>Universally Designed Instruction. ERIC/OSEP Digest. (ericdigests.org)</w:t>
      </w:r>
      <w:r w:rsidRPr="00781112">
        <w:rPr>
          <w:color w:val="000000" w:themeColor="text1"/>
        </w:rPr>
        <w:br/>
        <w:t>Universal Design for Learning | Center for Teaching Innovation (cornell.edu)</w:t>
      </w:r>
      <w:r w:rsidRPr="00781112">
        <w:rPr>
          <w:color w:val="000000" w:themeColor="text1"/>
        </w:rPr>
        <w:br/>
        <w:t xml:space="preserve">What_is_the_Difference_Between_RTI_and_MTSS.pdf (illinoiscriticalcomponents.com) </w:t>
      </w:r>
    </w:p>
    <w:p w14:paraId="1717717F" w14:textId="77777777" w:rsidR="00AE1972" w:rsidRPr="00781112" w:rsidRDefault="00AE1972" w:rsidP="00AE1972">
      <w:pPr>
        <w:rPr>
          <w:b/>
          <w:bCs/>
        </w:rPr>
      </w:pPr>
    </w:p>
    <w:p w14:paraId="7969DCFD" w14:textId="313BCCCE" w:rsidR="00AE1972" w:rsidRPr="00781112" w:rsidRDefault="00AE1972" w:rsidP="00AE1972">
      <w:pPr>
        <w:pStyle w:val="Heading2"/>
      </w:pPr>
      <w:r w:rsidRPr="00781112">
        <w:t>1</w:t>
      </w:r>
      <w:r w:rsidR="00B90835" w:rsidRPr="00781112">
        <w:t>7</w:t>
      </w:r>
      <w:r w:rsidRPr="00781112">
        <w:t xml:space="preserve"> - Prior FFY Required Actions</w:t>
      </w:r>
    </w:p>
    <w:p w14:paraId="6D4FDD87" w14:textId="61973738" w:rsidR="00AE1972" w:rsidRPr="00781112" w:rsidRDefault="00AE1972" w:rsidP="00AE1972">
      <w:pPr>
        <w:rPr>
          <w:color w:val="000000" w:themeColor="text1"/>
        </w:rPr>
      </w:pPr>
      <w:r w:rsidRPr="00781112">
        <w:rPr>
          <w:color w:val="000000" w:themeColor="text1"/>
        </w:rPr>
        <w:t>None</w:t>
      </w:r>
    </w:p>
    <w:p w14:paraId="26525888" w14:textId="754A2C29" w:rsidR="00AE1972" w:rsidRPr="00781112" w:rsidRDefault="00AE1972" w:rsidP="00AE1972">
      <w:pPr>
        <w:pStyle w:val="Heading2"/>
      </w:pPr>
      <w:r w:rsidRPr="00781112">
        <w:t>1</w:t>
      </w:r>
      <w:r w:rsidR="00B90835" w:rsidRPr="00781112">
        <w:t>7</w:t>
      </w:r>
      <w:r w:rsidRPr="00781112">
        <w:t xml:space="preserve"> - OSEP Response</w:t>
      </w:r>
    </w:p>
    <w:p w14:paraId="401B2D8D" w14:textId="470B927C" w:rsidR="00AE1972" w:rsidRPr="00781112" w:rsidRDefault="00AE1972" w:rsidP="00AE1972">
      <w:pPr>
        <w:rPr>
          <w:color w:val="000000" w:themeColor="text1"/>
        </w:rPr>
      </w:pPr>
    </w:p>
    <w:p w14:paraId="6DAF5363" w14:textId="73CEA9C3" w:rsidR="00AE1972" w:rsidRPr="00781112" w:rsidRDefault="00AE1972" w:rsidP="00AE1972">
      <w:pPr>
        <w:pStyle w:val="Heading2"/>
      </w:pPr>
      <w:r w:rsidRPr="00781112">
        <w:t>1</w:t>
      </w:r>
      <w:r w:rsidR="00B90835" w:rsidRPr="00781112">
        <w:t>7</w:t>
      </w:r>
      <w:r w:rsidRPr="00781112">
        <w:t xml:space="preserve"> - Required Actions</w:t>
      </w:r>
    </w:p>
    <w:p w14:paraId="54E94584" w14:textId="132794BB" w:rsidR="00066BAA" w:rsidRDefault="00066BAA" w:rsidP="000532EB">
      <w:pPr>
        <w:rPr>
          <w:color w:val="000000" w:themeColor="text1"/>
        </w:rPr>
      </w:pPr>
    </w:p>
    <w:p w14:paraId="7081808E" w14:textId="332DB163" w:rsidR="000532EB" w:rsidRDefault="000532EB">
      <w:pPr>
        <w:spacing w:before="0" w:after="200" w:line="276" w:lineRule="auto"/>
        <w:rPr>
          <w:color w:val="000000" w:themeColor="text1"/>
        </w:rPr>
      </w:pPr>
      <w:r>
        <w:rPr>
          <w:color w:val="000000" w:themeColor="text1"/>
        </w:rPr>
        <w:br w:type="page"/>
      </w:r>
    </w:p>
    <w:p w14:paraId="47A15380" w14:textId="2BFE46A7" w:rsidR="00251CC0" w:rsidRPr="00781112" w:rsidRDefault="00755AF7" w:rsidP="00D01281">
      <w:pPr>
        <w:pStyle w:val="Heading1"/>
        <w:rPr>
          <w:color w:val="000000" w:themeColor="text1"/>
        </w:rPr>
      </w:pPr>
      <w:r w:rsidRPr="00781112">
        <w:rPr>
          <w:color w:val="000000" w:themeColor="text1"/>
        </w:rPr>
        <w:t>Certification</w:t>
      </w:r>
    </w:p>
    <w:p w14:paraId="49BAFEB2" w14:textId="460D7FCE" w:rsidR="00EC1064" w:rsidRPr="00781112" w:rsidRDefault="00EC1064" w:rsidP="00A018D4">
      <w:pPr>
        <w:rPr>
          <w:color w:val="000000" w:themeColor="text1"/>
          <w:szCs w:val="20"/>
        </w:rPr>
      </w:pPr>
      <w:r w:rsidRPr="00781112">
        <w:rPr>
          <w:b/>
          <w:color w:val="000000" w:themeColor="text1"/>
          <w:sz w:val="20"/>
          <w:szCs w:val="20"/>
        </w:rPr>
        <w:t>Instructions</w:t>
      </w:r>
    </w:p>
    <w:p w14:paraId="1D3FABB8" w14:textId="49984077" w:rsidR="00EC1064" w:rsidRPr="00781112" w:rsidRDefault="00C723F9" w:rsidP="00EC1064">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14:paraId="01D5737F" w14:textId="0EECE8DE" w:rsidR="00EC1064" w:rsidRPr="00781112" w:rsidRDefault="00EC1064" w:rsidP="00EE0028">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14:paraId="55390454" w14:textId="09D075B1"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14:paraId="6B93509D" w14:textId="70EDDFDB" w:rsidR="008D2663"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14:paraId="0767E5C8" w14:textId="70B1D176" w:rsidR="00262BC0" w:rsidRPr="00781112" w:rsidRDefault="002B7490" w:rsidP="00262BC0">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14:paraId="0D4B9819" w14:textId="38C2D4E8"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14:paraId="3B5F1CED" w14:textId="77777777" w:rsidR="00755AF7" w:rsidRPr="00781112" w:rsidRDefault="00755AF7" w:rsidP="00755AF7">
      <w:pPr>
        <w:autoSpaceDE w:val="0"/>
        <w:autoSpaceDN w:val="0"/>
        <w:adjustRightInd w:val="0"/>
        <w:rPr>
          <w:rFonts w:cs="Arial"/>
          <w:b/>
          <w:bCs/>
          <w:color w:val="000000" w:themeColor="text1"/>
          <w:szCs w:val="16"/>
        </w:rPr>
      </w:pPr>
      <w:bookmarkStart w:id="93" w:name="_Hlk20318241"/>
      <w:r w:rsidRPr="00781112">
        <w:rPr>
          <w:rFonts w:cs="Arial"/>
          <w:b/>
          <w:bCs/>
          <w:color w:val="000000" w:themeColor="text1"/>
          <w:szCs w:val="16"/>
        </w:rPr>
        <w:t xml:space="preserve">Name: </w:t>
      </w:r>
    </w:p>
    <w:p w14:paraId="4AE58D3C" w14:textId="25F9FA75"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Travis Thompson</w:t>
      </w:r>
    </w:p>
    <w:p w14:paraId="6368082B" w14:textId="28AD55BD" w:rsidR="00755AF7" w:rsidRPr="00781112" w:rsidRDefault="00EF4A6B"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14:paraId="290E3D81" w14:textId="5C618752"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Director of Data Analysis</w:t>
      </w:r>
    </w:p>
    <w:p w14:paraId="67DC6813" w14:textId="6EF07192" w:rsidR="00755AF7" w:rsidRPr="00781112" w:rsidRDefault="00925E33"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14:paraId="0D9187A2" w14:textId="72ED05AF"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travis.thompson@sde.ok.gov</w:t>
      </w:r>
    </w:p>
    <w:p w14:paraId="230D0674" w14:textId="3A323DD4" w:rsidR="00755AF7" w:rsidRPr="00781112" w:rsidRDefault="00EF4A6B" w:rsidP="00755AF7">
      <w:pPr>
        <w:autoSpaceDE w:val="0"/>
        <w:autoSpaceDN w:val="0"/>
        <w:adjustRightInd w:val="0"/>
        <w:rPr>
          <w:rFonts w:cs="Arial"/>
          <w:b/>
          <w:color w:val="000000" w:themeColor="text1"/>
          <w:szCs w:val="16"/>
        </w:rPr>
      </w:pPr>
      <w:r w:rsidRPr="00781112">
        <w:rPr>
          <w:rFonts w:cs="Arial"/>
          <w:b/>
          <w:color w:val="000000" w:themeColor="text1"/>
          <w:szCs w:val="16"/>
        </w:rPr>
        <w:t>Phone:</w:t>
      </w:r>
    </w:p>
    <w:p w14:paraId="5A421E1A" w14:textId="3C4EA133" w:rsidR="00DD2023" w:rsidRPr="00781112" w:rsidRDefault="002B7490" w:rsidP="00DD2023">
      <w:pPr>
        <w:autoSpaceDE w:val="0"/>
        <w:autoSpaceDN w:val="0"/>
        <w:adjustRightInd w:val="0"/>
        <w:rPr>
          <w:rFonts w:cs="Arial"/>
          <w:color w:val="000000" w:themeColor="text1"/>
          <w:szCs w:val="16"/>
        </w:rPr>
      </w:pPr>
      <w:r w:rsidRPr="00781112">
        <w:rPr>
          <w:rFonts w:cs="Arial"/>
          <w:color w:val="000000" w:themeColor="text1"/>
          <w:szCs w:val="16"/>
        </w:rPr>
        <w:t>405-522-5203</w:t>
      </w:r>
    </w:p>
    <w:bookmarkEnd w:id="93"/>
    <w:p w14:paraId="17E495D6" w14:textId="2B4E1FA8" w:rsidR="000657F0" w:rsidRPr="00781112" w:rsidRDefault="00C773DB" w:rsidP="000657F0">
      <w:pPr>
        <w:autoSpaceDE w:val="0"/>
        <w:autoSpaceDN w:val="0"/>
        <w:adjustRightInd w:val="0"/>
        <w:rPr>
          <w:rFonts w:cs="Arial"/>
          <w:b/>
          <w:color w:val="000000" w:themeColor="text1"/>
          <w:szCs w:val="16"/>
        </w:rPr>
      </w:pPr>
      <w:r w:rsidRPr="00781112">
        <w:rPr>
          <w:rFonts w:cs="Arial"/>
          <w:b/>
          <w:color w:val="000000" w:themeColor="text1"/>
          <w:szCs w:val="16"/>
        </w:rPr>
        <w:t>Submitted on:</w:t>
      </w:r>
    </w:p>
    <w:p w14:paraId="3754F1D5" w14:textId="5487A8BD" w:rsidR="00371FAA" w:rsidRPr="00395B6C" w:rsidRDefault="006879FA" w:rsidP="00371FAA">
      <w:r w:rsidRPr="00395B6C">
        <w:t>04/27/23  7:00:19 PM</w:t>
      </w:r>
    </w:p>
    <w:p w14:paraId="137CE14B" w14:textId="38DBB8E3" w:rsidR="00371FAA" w:rsidRPr="00395B6C" w:rsidRDefault="00D12506" w:rsidP="00D12506">
      <w:pPr>
        <w:spacing w:before="0" w:after="200" w:line="276" w:lineRule="auto"/>
      </w:pPr>
      <w:r w:rsidRPr="00395B6C">
        <w:br w:type="page"/>
      </w:r>
    </w:p>
    <w:p w14:paraId="66D36872" w14:textId="52ECB6DB" w:rsidR="00BE0EEF" w:rsidRPr="00395B6C" w:rsidRDefault="00AF2BDA" w:rsidP="00AF2BDA">
      <w:pPr>
        <w:pStyle w:val="Heading1"/>
        <w:rPr>
          <w:color w:val="000000" w:themeColor="text1"/>
        </w:rPr>
      </w:pPr>
      <w:r w:rsidRPr="00395B6C">
        <w:rPr>
          <w:color w:val="000000" w:themeColor="text1"/>
        </w:rPr>
        <w:t>Determination Enclosures</w:t>
      </w:r>
    </w:p>
    <w:p w14:paraId="7F6A87DA" w14:textId="7873ABE7" w:rsidR="00BE0EEF" w:rsidRPr="00395B6C" w:rsidRDefault="00BE0EEF" w:rsidP="00BE0EEF">
      <w:pPr>
        <w:pStyle w:val="Heading2"/>
        <w:rPr>
          <w:color w:val="000000" w:themeColor="text1"/>
        </w:rPr>
      </w:pPr>
      <w:r w:rsidRPr="00395B6C">
        <w:t>RDA Matrix</w:t>
      </w:r>
    </w:p>
    <w:p w14:paraId="34FD6914" w14:textId="4D3F485E" w:rsidR="00824D00" w:rsidRPr="00824D00" w:rsidRDefault="00BE0EEF" w:rsidP="00824D00">
      <w:pPr>
        <w:jc w:val="center"/>
        <w:rPr>
          <w:sz w:val="32"/>
          <w:szCs w:val="32"/>
        </w:rPr>
      </w:pPr>
      <w:r w:rsidRPr="00395B6C">
        <w:rPr>
          <w:sz w:val="32"/>
          <w:szCs w:val="32"/>
        </w:rPr>
        <w:br/>
      </w:r>
      <w:r w:rsidRPr="00824D00">
        <w:rPr>
          <w:sz w:val="32"/>
          <w:szCs w:val="32"/>
        </w:rPr>
        <w:t>2023 Part B Results-Driven Accountability Matrix</w:t>
      </w:r>
    </w:p>
    <w:p w14:paraId="2A7E4326" w14:textId="77777777" w:rsidR="00BE0EEF" w:rsidRPr="00210AC6" w:rsidRDefault="00BE0EEF" w:rsidP="00BE0EEF">
      <w:pPr>
        <w:rPr>
          <w:rFonts w:cs="Arial"/>
          <w:b/>
          <w:bCs/>
          <w:szCs w:val="16"/>
        </w:rPr>
      </w:pPr>
      <w:r w:rsidRPr="00210AC6">
        <w:rPr>
          <w:rFonts w:cs="Arial"/>
          <w:b/>
          <w:bCs/>
          <w:szCs w:val="16"/>
        </w:rPr>
        <w:t>Results-Driven Accountability Percentage and Determination</w:t>
      </w:r>
      <w:r w:rsidRPr="00210AC6">
        <w:rPr>
          <w:rStyle w:val="FootnoteReference"/>
          <w:rFonts w:cs="Arial"/>
          <w:b/>
          <w:bCs/>
          <w:szCs w:val="16"/>
        </w:rPr>
        <w:footnoteReference w:id="2"/>
      </w:r>
    </w:p>
    <w:tbl>
      <w:tblPr>
        <w:tblStyle w:val="TableGrid1"/>
        <w:tblW w:w="5009" w:type="pct"/>
        <w:tblLook w:val="04A0" w:firstRow="1" w:lastRow="0" w:firstColumn="1" w:lastColumn="0" w:noHBand="0" w:noVBand="1"/>
        <w:tblCaption w:val="BENNSRSTRDACFFYSTAT"/>
      </w:tblPr>
      <w:tblGrid>
        <w:gridCol w:w="5404"/>
        <w:gridCol w:w="5405"/>
      </w:tblGrid>
      <w:tr w:rsidR="00BE0EEF" w:rsidRPr="00210AC6" w14:paraId="441F44A8" w14:textId="77777777" w:rsidTr="0064778E">
        <w:trPr>
          <w:tblHeader/>
        </w:trPr>
        <w:tc>
          <w:tcPr>
            <w:tcW w:w="2500" w:type="pct"/>
          </w:tcPr>
          <w:p w14:paraId="48E2D994" w14:textId="77777777" w:rsidR="00BE0EEF" w:rsidRPr="00210AC6" w:rsidRDefault="00BE0EEF" w:rsidP="002C333C">
            <w:pPr>
              <w:rPr>
                <w:rFonts w:cs="Arial"/>
                <w:b/>
                <w:bCs/>
                <w:szCs w:val="16"/>
              </w:rPr>
            </w:pPr>
            <w:r w:rsidRPr="00210AC6">
              <w:rPr>
                <w:rFonts w:cs="Arial"/>
                <w:b/>
                <w:bCs/>
                <w:szCs w:val="16"/>
              </w:rPr>
              <w:t>Percentage (%)</w:t>
            </w:r>
          </w:p>
        </w:tc>
        <w:tc>
          <w:tcPr>
            <w:tcW w:w="2500" w:type="pct"/>
          </w:tcPr>
          <w:p w14:paraId="41C1D543" w14:textId="77777777" w:rsidR="00BE0EEF" w:rsidRPr="00210AC6" w:rsidRDefault="00BE0EEF" w:rsidP="002C333C">
            <w:pPr>
              <w:rPr>
                <w:rFonts w:cs="Arial"/>
                <w:b/>
                <w:bCs/>
                <w:szCs w:val="16"/>
              </w:rPr>
            </w:pPr>
            <w:r w:rsidRPr="00210AC6">
              <w:rPr>
                <w:rFonts w:cs="Arial"/>
                <w:b/>
                <w:bCs/>
                <w:szCs w:val="16"/>
              </w:rPr>
              <w:t>Determination</w:t>
            </w:r>
          </w:p>
        </w:tc>
      </w:tr>
      <w:tr w:rsidR="00416463" w:rsidRPr="00210AC6" w14:paraId="2EA9543B" w14:textId="77777777" w:rsidTr="00FB3F34">
        <w:tc>
          <w:tcPr>
            <w:tcW w:w="2500" w:type="pct"/>
          </w:tcPr>
          <w:p w14:paraId="7E99A849" w14:textId="1196736B" w:rsidR="00416463" w:rsidRPr="00210AC6" w:rsidRDefault="00416463" w:rsidP="00416463">
            <w:pPr>
              <w:rPr>
                <w:rFonts w:cs="Arial"/>
                <w:szCs w:val="16"/>
              </w:rPr>
            </w:pPr>
            <w:r w:rsidRPr="00210AC6">
              <w:rPr>
                <w:rFonts w:cs="Arial"/>
                <w:szCs w:val="16"/>
              </w:rPr>
              <w:t>71.67%</w:t>
            </w:r>
          </w:p>
        </w:tc>
        <w:tc>
          <w:tcPr>
            <w:tcW w:w="2500" w:type="pct"/>
          </w:tcPr>
          <w:p w14:paraId="67D9EEC1" w14:textId="53D67E7A" w:rsidR="00416463" w:rsidRPr="00210AC6" w:rsidRDefault="00416463" w:rsidP="00416463">
            <w:pPr>
              <w:rPr>
                <w:rFonts w:cs="Arial"/>
                <w:szCs w:val="16"/>
              </w:rPr>
            </w:pPr>
            <w:r w:rsidRPr="00210AC6">
              <w:rPr>
                <w:rFonts w:cs="Arial"/>
                <w:noProof/>
                <w:szCs w:val="16"/>
              </w:rPr>
              <w:t>Needs Assistance</w:t>
            </w:r>
          </w:p>
        </w:tc>
      </w:tr>
    </w:tbl>
    <w:p w14:paraId="3111276A" w14:textId="77777777" w:rsidR="00BE0EEF" w:rsidRPr="00210AC6" w:rsidRDefault="00BE0EEF" w:rsidP="00BE0EEF">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BENNSRSTCMPCFFYSTAT"/>
      </w:tblPr>
      <w:tblGrid>
        <w:gridCol w:w="2724"/>
        <w:gridCol w:w="2724"/>
        <w:gridCol w:w="2722"/>
        <w:gridCol w:w="2631"/>
      </w:tblGrid>
      <w:tr w:rsidR="00BE0EEF" w:rsidRPr="00210AC6" w14:paraId="171A34FE" w14:textId="77777777" w:rsidTr="00851F98">
        <w:trPr>
          <w:tblHeader/>
        </w:trPr>
        <w:tc>
          <w:tcPr>
            <w:tcW w:w="1261" w:type="pct"/>
          </w:tcPr>
          <w:p w14:paraId="7A21C806" w14:textId="77777777" w:rsidR="00BE0EEF" w:rsidRPr="00210AC6" w:rsidRDefault="00BE0EEF" w:rsidP="002C333C">
            <w:pPr>
              <w:rPr>
                <w:rFonts w:cs="Arial"/>
                <w:b/>
                <w:bCs/>
                <w:szCs w:val="16"/>
              </w:rPr>
            </w:pPr>
          </w:p>
        </w:tc>
        <w:tc>
          <w:tcPr>
            <w:tcW w:w="1261" w:type="pct"/>
          </w:tcPr>
          <w:p w14:paraId="7D03890F" w14:textId="77777777" w:rsidR="00BE0EEF" w:rsidRPr="00210AC6" w:rsidRDefault="00BE0EEF" w:rsidP="002C333C">
            <w:pPr>
              <w:rPr>
                <w:rFonts w:cs="Arial"/>
                <w:b/>
                <w:bCs/>
                <w:szCs w:val="16"/>
              </w:rPr>
            </w:pPr>
            <w:r w:rsidRPr="00210AC6">
              <w:rPr>
                <w:rFonts w:cs="Arial"/>
                <w:b/>
                <w:bCs/>
                <w:szCs w:val="16"/>
              </w:rPr>
              <w:t>Total Points Available</w:t>
            </w:r>
          </w:p>
        </w:tc>
        <w:tc>
          <w:tcPr>
            <w:tcW w:w="1260" w:type="pct"/>
          </w:tcPr>
          <w:p w14:paraId="0BAE0076" w14:textId="77777777" w:rsidR="00BE0EEF" w:rsidRPr="00210AC6" w:rsidRDefault="00BE0EEF" w:rsidP="002C333C">
            <w:pPr>
              <w:rPr>
                <w:rFonts w:cs="Arial"/>
                <w:b/>
                <w:bCs/>
                <w:szCs w:val="16"/>
              </w:rPr>
            </w:pPr>
            <w:r w:rsidRPr="00210AC6">
              <w:rPr>
                <w:rFonts w:cs="Arial"/>
                <w:b/>
                <w:bCs/>
                <w:szCs w:val="16"/>
              </w:rPr>
              <w:t>Points Earned</w:t>
            </w:r>
          </w:p>
        </w:tc>
        <w:tc>
          <w:tcPr>
            <w:tcW w:w="1218" w:type="pct"/>
          </w:tcPr>
          <w:p w14:paraId="2D5453A9" w14:textId="77777777" w:rsidR="00BE0EEF" w:rsidRPr="00210AC6" w:rsidRDefault="00BE0EEF" w:rsidP="002C333C">
            <w:pPr>
              <w:rPr>
                <w:rFonts w:cs="Arial"/>
                <w:b/>
                <w:bCs/>
                <w:szCs w:val="16"/>
              </w:rPr>
            </w:pPr>
            <w:r w:rsidRPr="00210AC6">
              <w:rPr>
                <w:rFonts w:cs="Arial"/>
                <w:b/>
                <w:bCs/>
                <w:szCs w:val="16"/>
              </w:rPr>
              <w:t>Score (%)</w:t>
            </w:r>
          </w:p>
        </w:tc>
      </w:tr>
      <w:tr w:rsidR="00E1330D" w:rsidRPr="00210AC6" w14:paraId="24CD0491" w14:textId="77777777" w:rsidTr="00851F98">
        <w:tc>
          <w:tcPr>
            <w:tcW w:w="1261" w:type="pct"/>
          </w:tcPr>
          <w:p w14:paraId="636FA965" w14:textId="77777777" w:rsidR="00E1330D" w:rsidRPr="00210AC6" w:rsidRDefault="00E1330D" w:rsidP="00E1330D">
            <w:pPr>
              <w:rPr>
                <w:rFonts w:cs="Arial"/>
                <w:b/>
                <w:bCs/>
                <w:szCs w:val="16"/>
              </w:rPr>
            </w:pPr>
            <w:r w:rsidRPr="00210AC6">
              <w:rPr>
                <w:rFonts w:cs="Arial"/>
                <w:b/>
                <w:bCs/>
                <w:szCs w:val="16"/>
              </w:rPr>
              <w:t>Results</w:t>
            </w:r>
          </w:p>
        </w:tc>
        <w:tc>
          <w:tcPr>
            <w:tcW w:w="1261" w:type="pct"/>
          </w:tcPr>
          <w:p w14:paraId="4DC27F93" w14:textId="2A310F59" w:rsidR="00E1330D" w:rsidRPr="00210AC6" w:rsidRDefault="00E1330D" w:rsidP="00E1330D">
            <w:pPr>
              <w:rPr>
                <w:rFonts w:cs="Arial"/>
                <w:noProof/>
                <w:szCs w:val="16"/>
              </w:rPr>
            </w:pPr>
            <w:r w:rsidRPr="00210AC6">
              <w:rPr>
                <w:rFonts w:cs="Arial"/>
                <w:szCs w:val="16"/>
              </w:rPr>
              <w:t>24</w:t>
            </w:r>
          </w:p>
        </w:tc>
        <w:tc>
          <w:tcPr>
            <w:tcW w:w="1260" w:type="pct"/>
          </w:tcPr>
          <w:p w14:paraId="39A51C38" w14:textId="16E843D2" w:rsidR="00E1330D" w:rsidRPr="00210AC6" w:rsidRDefault="00E1330D" w:rsidP="00E1330D">
            <w:pPr>
              <w:rPr>
                <w:rFonts w:cs="Arial"/>
                <w:szCs w:val="16"/>
              </w:rPr>
            </w:pPr>
            <w:r w:rsidRPr="00210AC6">
              <w:rPr>
                <w:rFonts w:cs="Arial"/>
                <w:szCs w:val="16"/>
              </w:rPr>
              <w:t>14</w:t>
            </w:r>
          </w:p>
        </w:tc>
        <w:tc>
          <w:tcPr>
            <w:tcW w:w="1218" w:type="pct"/>
          </w:tcPr>
          <w:p w14:paraId="0E3866D0" w14:textId="74D5D84B" w:rsidR="00E1330D" w:rsidRPr="00210AC6" w:rsidRDefault="00E1330D" w:rsidP="00E1330D">
            <w:pPr>
              <w:rPr>
                <w:rFonts w:cs="Arial"/>
                <w:szCs w:val="16"/>
              </w:rPr>
            </w:pPr>
            <w:r w:rsidRPr="00210AC6">
              <w:rPr>
                <w:rFonts w:cs="Arial"/>
                <w:szCs w:val="16"/>
              </w:rPr>
              <w:t>58.33%</w:t>
            </w:r>
          </w:p>
        </w:tc>
      </w:tr>
      <w:tr w:rsidR="00E1330D" w:rsidRPr="00210AC6" w14:paraId="6160CFE2" w14:textId="77777777" w:rsidTr="00851F98">
        <w:tc>
          <w:tcPr>
            <w:tcW w:w="1261" w:type="pct"/>
          </w:tcPr>
          <w:p w14:paraId="683501B2" w14:textId="77777777" w:rsidR="00E1330D" w:rsidRPr="00210AC6" w:rsidRDefault="00E1330D" w:rsidP="00E1330D">
            <w:pPr>
              <w:rPr>
                <w:rFonts w:cs="Arial"/>
                <w:b/>
                <w:bCs/>
                <w:szCs w:val="16"/>
              </w:rPr>
            </w:pPr>
            <w:r w:rsidRPr="00210AC6">
              <w:rPr>
                <w:rFonts w:cs="Arial"/>
                <w:b/>
                <w:bCs/>
                <w:szCs w:val="16"/>
              </w:rPr>
              <w:t>Compliance</w:t>
            </w:r>
          </w:p>
        </w:tc>
        <w:tc>
          <w:tcPr>
            <w:tcW w:w="1261" w:type="pct"/>
          </w:tcPr>
          <w:p w14:paraId="548EED65" w14:textId="52CD3569" w:rsidR="00E1330D" w:rsidRPr="00210AC6" w:rsidRDefault="00E1330D" w:rsidP="00E1330D">
            <w:pPr>
              <w:rPr>
                <w:rFonts w:cs="Arial"/>
                <w:szCs w:val="16"/>
              </w:rPr>
            </w:pPr>
            <w:r w:rsidRPr="00210AC6">
              <w:rPr>
                <w:rFonts w:cs="Arial"/>
                <w:szCs w:val="16"/>
              </w:rPr>
              <w:t>20</w:t>
            </w:r>
          </w:p>
        </w:tc>
        <w:tc>
          <w:tcPr>
            <w:tcW w:w="1260" w:type="pct"/>
          </w:tcPr>
          <w:p w14:paraId="0A360C78" w14:textId="7DE98E29" w:rsidR="00E1330D" w:rsidRPr="00210AC6" w:rsidRDefault="00E1330D" w:rsidP="00E1330D">
            <w:pPr>
              <w:rPr>
                <w:rFonts w:cs="Arial"/>
                <w:szCs w:val="16"/>
              </w:rPr>
            </w:pPr>
            <w:r w:rsidRPr="00210AC6">
              <w:rPr>
                <w:rFonts w:cs="Arial"/>
                <w:szCs w:val="16"/>
              </w:rPr>
              <w:t>17</w:t>
            </w:r>
          </w:p>
        </w:tc>
        <w:tc>
          <w:tcPr>
            <w:tcW w:w="1218" w:type="pct"/>
          </w:tcPr>
          <w:p w14:paraId="568903BA" w14:textId="193CF7F1" w:rsidR="00E1330D" w:rsidRPr="00210AC6" w:rsidRDefault="00E1330D" w:rsidP="00E1330D">
            <w:pPr>
              <w:rPr>
                <w:rFonts w:cs="Arial"/>
                <w:szCs w:val="16"/>
              </w:rPr>
            </w:pPr>
            <w:r w:rsidRPr="00210AC6">
              <w:rPr>
                <w:rFonts w:cs="Arial"/>
                <w:szCs w:val="16"/>
              </w:rPr>
              <w:t>85.00%</w:t>
            </w:r>
          </w:p>
        </w:tc>
      </w:tr>
    </w:tbl>
    <w:p w14:paraId="5A13FEB8" w14:textId="650D2B71" w:rsidR="00BE0EEF" w:rsidRDefault="00BE0EEF" w:rsidP="00BE0EEF">
      <w:pPr>
        <w:rPr>
          <w:rFonts w:cs="Arial"/>
          <w:b/>
          <w:bCs/>
          <w:szCs w:val="16"/>
        </w:rPr>
      </w:pPr>
      <w:r w:rsidRPr="00210AC6">
        <w:rPr>
          <w:rFonts w:cs="Arial"/>
          <w:b/>
          <w:bCs/>
          <w:szCs w:val="16"/>
        </w:rPr>
        <w:t>2023 Part B Results Matrix</w:t>
      </w:r>
    </w:p>
    <w:p w14:paraId="54FF45BF" w14:textId="4C5619B9" w:rsidR="00353EB1" w:rsidRPr="00210AC6" w:rsidRDefault="00353EB1" w:rsidP="00353EB1">
      <w:pPr>
        <w:rPr>
          <w:rFonts w:cs="Arial"/>
          <w:b/>
          <w:bCs/>
          <w:szCs w:val="16"/>
        </w:rPr>
      </w:pPr>
      <w:r w:rsidRPr="00210AC6">
        <w:rPr>
          <w:rFonts w:cs="Arial"/>
          <w:b/>
          <w:bCs/>
          <w:szCs w:val="16"/>
        </w:rPr>
        <w:t>Reading Assessment Elements</w:t>
      </w:r>
    </w:p>
    <w:tbl>
      <w:tblPr>
        <w:tblStyle w:val="TableGrid1"/>
        <w:tblW w:w="5009" w:type="pct"/>
        <w:tblLayout w:type="fixed"/>
        <w:tblLook w:val="04A0" w:firstRow="1" w:lastRow="0" w:firstColumn="1" w:lastColumn="0" w:noHBand="0" w:noVBand="1"/>
        <w:tblCaption w:val="BRLAENNSRSTCFFY"/>
      </w:tblPr>
      <w:tblGrid>
        <w:gridCol w:w="7207"/>
        <w:gridCol w:w="1801"/>
        <w:gridCol w:w="1801"/>
      </w:tblGrid>
      <w:tr w:rsidR="00BE0EEF" w:rsidRPr="00210AC6" w14:paraId="6C98717E" w14:textId="77777777" w:rsidTr="0064778E">
        <w:trPr>
          <w:tblHeader/>
        </w:trPr>
        <w:tc>
          <w:tcPr>
            <w:tcW w:w="3334" w:type="pct"/>
          </w:tcPr>
          <w:p w14:paraId="7B58243A" w14:textId="77777777" w:rsidR="00BE0EEF" w:rsidRPr="00210AC6" w:rsidRDefault="00BE0EEF" w:rsidP="002C333C">
            <w:pPr>
              <w:rPr>
                <w:rFonts w:cs="Arial"/>
                <w:b/>
                <w:bCs/>
                <w:szCs w:val="16"/>
              </w:rPr>
            </w:pPr>
            <w:r w:rsidRPr="00210AC6">
              <w:rPr>
                <w:rFonts w:cs="Arial"/>
                <w:b/>
                <w:bCs/>
                <w:szCs w:val="16"/>
              </w:rPr>
              <w:t>Reading Assessment Elements</w:t>
            </w:r>
          </w:p>
        </w:tc>
        <w:tc>
          <w:tcPr>
            <w:tcW w:w="833" w:type="pct"/>
          </w:tcPr>
          <w:p w14:paraId="7F72CFD5" w14:textId="77777777" w:rsidR="00BE0EEF" w:rsidRPr="00210AC6" w:rsidRDefault="00BE0EEF" w:rsidP="002C333C">
            <w:pPr>
              <w:rPr>
                <w:rFonts w:cs="Arial"/>
                <w:b/>
                <w:bCs/>
                <w:szCs w:val="16"/>
              </w:rPr>
            </w:pPr>
            <w:r w:rsidRPr="00210AC6">
              <w:rPr>
                <w:rFonts w:cs="Arial"/>
                <w:b/>
                <w:bCs/>
                <w:szCs w:val="16"/>
              </w:rPr>
              <w:t>Performance (%)</w:t>
            </w:r>
          </w:p>
        </w:tc>
        <w:tc>
          <w:tcPr>
            <w:tcW w:w="833" w:type="pct"/>
          </w:tcPr>
          <w:p w14:paraId="729C2DDD" w14:textId="77777777" w:rsidR="00BE0EEF" w:rsidRPr="00210AC6" w:rsidRDefault="00BE0EEF" w:rsidP="002C333C">
            <w:pPr>
              <w:rPr>
                <w:rFonts w:cs="Arial"/>
                <w:b/>
                <w:bCs/>
                <w:szCs w:val="16"/>
              </w:rPr>
            </w:pPr>
            <w:r w:rsidRPr="00210AC6">
              <w:rPr>
                <w:rFonts w:cs="Arial"/>
                <w:b/>
                <w:bCs/>
                <w:szCs w:val="16"/>
              </w:rPr>
              <w:t>Score</w:t>
            </w:r>
          </w:p>
        </w:tc>
      </w:tr>
      <w:tr w:rsidR="00AC185D" w:rsidRPr="00210AC6" w14:paraId="66509352" w14:textId="77777777" w:rsidTr="00FB3F34">
        <w:tc>
          <w:tcPr>
            <w:tcW w:w="3334" w:type="pct"/>
          </w:tcPr>
          <w:p w14:paraId="2F46D281" w14:textId="77777777" w:rsidR="00AC185D" w:rsidRPr="00210AC6" w:rsidRDefault="00AC185D" w:rsidP="00AC185D">
            <w:pPr>
              <w:rPr>
                <w:rFonts w:cs="Arial"/>
                <w:b/>
                <w:bCs/>
                <w:szCs w:val="16"/>
              </w:rPr>
            </w:pPr>
            <w:r w:rsidRPr="00210AC6">
              <w:rPr>
                <w:rFonts w:cs="Arial"/>
                <w:b/>
                <w:bCs/>
                <w:szCs w:val="16"/>
              </w:rPr>
              <w:t>Percentage of 4th Grade Children with Disabilities Participating in Regular Statewide Assessments</w:t>
            </w:r>
          </w:p>
        </w:tc>
        <w:tc>
          <w:tcPr>
            <w:tcW w:w="833" w:type="pct"/>
          </w:tcPr>
          <w:p w14:paraId="4B066FB6" w14:textId="065EED21" w:rsidR="00AC185D" w:rsidRPr="00210AC6" w:rsidRDefault="00AC185D" w:rsidP="00AC185D">
            <w:pPr>
              <w:rPr>
                <w:rFonts w:cs="Arial"/>
                <w:szCs w:val="16"/>
              </w:rPr>
            </w:pPr>
            <w:r w:rsidRPr="00210AC6">
              <w:rPr>
                <w:rFonts w:cs="Arial"/>
                <w:szCs w:val="16"/>
              </w:rPr>
              <w:t>91%</w:t>
            </w:r>
          </w:p>
        </w:tc>
        <w:tc>
          <w:tcPr>
            <w:tcW w:w="833" w:type="pct"/>
          </w:tcPr>
          <w:p w14:paraId="50F87295" w14:textId="3E5BE83B" w:rsidR="00AC185D" w:rsidRPr="00210AC6" w:rsidRDefault="00AC185D" w:rsidP="00AC185D">
            <w:pPr>
              <w:rPr>
                <w:rFonts w:cs="Arial"/>
                <w:szCs w:val="16"/>
              </w:rPr>
            </w:pPr>
            <w:r w:rsidRPr="00210AC6">
              <w:rPr>
                <w:rFonts w:cs="Arial"/>
                <w:szCs w:val="16"/>
              </w:rPr>
              <w:t>2</w:t>
            </w:r>
          </w:p>
        </w:tc>
      </w:tr>
      <w:tr w:rsidR="00AC185D" w:rsidRPr="00210AC6" w14:paraId="3550FF4A" w14:textId="77777777" w:rsidTr="00FB3F34">
        <w:tc>
          <w:tcPr>
            <w:tcW w:w="3334" w:type="pct"/>
          </w:tcPr>
          <w:p w14:paraId="3C309EC9" w14:textId="77777777" w:rsidR="00AC185D" w:rsidRPr="00210AC6" w:rsidRDefault="00AC185D" w:rsidP="00AC185D">
            <w:pPr>
              <w:rPr>
                <w:rFonts w:cs="Arial"/>
                <w:b/>
                <w:bCs/>
                <w:szCs w:val="16"/>
              </w:rPr>
            </w:pPr>
            <w:r w:rsidRPr="00210AC6">
              <w:rPr>
                <w:rFonts w:cs="Arial"/>
                <w:b/>
                <w:bCs/>
                <w:szCs w:val="16"/>
              </w:rPr>
              <w:t>Percentage of 8th Grade Children with Disabilities Participating in Regular Statewide Assessments</w:t>
            </w:r>
          </w:p>
        </w:tc>
        <w:tc>
          <w:tcPr>
            <w:tcW w:w="833" w:type="pct"/>
          </w:tcPr>
          <w:p w14:paraId="3048515F" w14:textId="76393BE7" w:rsidR="00AC185D" w:rsidRPr="00210AC6" w:rsidRDefault="00AC185D" w:rsidP="00AC185D">
            <w:pPr>
              <w:rPr>
                <w:rFonts w:cs="Arial"/>
                <w:szCs w:val="16"/>
              </w:rPr>
            </w:pPr>
            <w:r w:rsidRPr="00210AC6">
              <w:rPr>
                <w:rFonts w:cs="Arial"/>
                <w:szCs w:val="16"/>
              </w:rPr>
              <w:t>89%</w:t>
            </w:r>
          </w:p>
        </w:tc>
        <w:tc>
          <w:tcPr>
            <w:tcW w:w="833" w:type="pct"/>
          </w:tcPr>
          <w:p w14:paraId="616686DF" w14:textId="143C7242" w:rsidR="00AC185D" w:rsidRPr="00210AC6" w:rsidRDefault="00AC185D" w:rsidP="00AC185D">
            <w:pPr>
              <w:rPr>
                <w:rFonts w:cs="Arial"/>
                <w:szCs w:val="16"/>
              </w:rPr>
            </w:pPr>
            <w:r w:rsidRPr="00210AC6">
              <w:rPr>
                <w:rFonts w:cs="Arial"/>
                <w:szCs w:val="16"/>
              </w:rPr>
              <w:t>1</w:t>
            </w:r>
          </w:p>
        </w:tc>
      </w:tr>
      <w:tr w:rsidR="00AC185D" w:rsidRPr="00210AC6" w14:paraId="3DAECFCC" w14:textId="77777777" w:rsidTr="00FB3F34">
        <w:tc>
          <w:tcPr>
            <w:tcW w:w="3334" w:type="pct"/>
          </w:tcPr>
          <w:p w14:paraId="7F5E9165" w14:textId="77777777" w:rsidR="00AC185D" w:rsidRPr="00210AC6" w:rsidRDefault="00AC185D" w:rsidP="00AC185D">
            <w:pPr>
              <w:rPr>
                <w:rFonts w:cs="Arial"/>
                <w:b/>
                <w:bCs/>
                <w:szCs w:val="16"/>
              </w:rPr>
            </w:pPr>
            <w:r w:rsidRPr="00210AC6">
              <w:rPr>
                <w:rFonts w:cs="Arial"/>
                <w:b/>
                <w:bCs/>
                <w:szCs w:val="16"/>
              </w:rPr>
              <w:t>Percentage of 4th Grade Children with Disabilities Scoring at Basic or Above on the National Assessment of Educational Progress</w:t>
            </w:r>
          </w:p>
        </w:tc>
        <w:tc>
          <w:tcPr>
            <w:tcW w:w="833" w:type="pct"/>
          </w:tcPr>
          <w:p w14:paraId="69FCD5E3" w14:textId="2225AB69" w:rsidR="00AC185D" w:rsidRPr="00210AC6" w:rsidRDefault="00AC185D" w:rsidP="00AC185D">
            <w:pPr>
              <w:rPr>
                <w:rFonts w:cs="Arial"/>
                <w:szCs w:val="16"/>
              </w:rPr>
            </w:pPr>
            <w:r w:rsidRPr="00210AC6">
              <w:rPr>
                <w:rFonts w:cs="Arial"/>
                <w:szCs w:val="16"/>
              </w:rPr>
              <w:t>20%</w:t>
            </w:r>
          </w:p>
        </w:tc>
        <w:tc>
          <w:tcPr>
            <w:tcW w:w="833" w:type="pct"/>
          </w:tcPr>
          <w:p w14:paraId="23A64B98" w14:textId="5F4E05F3" w:rsidR="00AC185D" w:rsidRPr="00210AC6" w:rsidRDefault="00AC185D" w:rsidP="00AC185D">
            <w:pPr>
              <w:rPr>
                <w:rFonts w:cs="Arial"/>
                <w:szCs w:val="16"/>
              </w:rPr>
            </w:pPr>
            <w:r w:rsidRPr="00210AC6">
              <w:rPr>
                <w:rFonts w:cs="Arial"/>
                <w:szCs w:val="16"/>
              </w:rPr>
              <w:t>0</w:t>
            </w:r>
          </w:p>
        </w:tc>
      </w:tr>
      <w:tr w:rsidR="00AC185D" w:rsidRPr="00210AC6" w14:paraId="2B48B4E0" w14:textId="77777777" w:rsidTr="00FB3F34">
        <w:tc>
          <w:tcPr>
            <w:tcW w:w="3334" w:type="pct"/>
          </w:tcPr>
          <w:p w14:paraId="7666AD2F" w14:textId="77777777" w:rsidR="00AC185D" w:rsidRPr="00210AC6" w:rsidRDefault="00AC185D" w:rsidP="00AC185D">
            <w:pPr>
              <w:rPr>
                <w:rFonts w:cs="Arial"/>
                <w:b/>
                <w:bCs/>
                <w:szCs w:val="16"/>
              </w:rPr>
            </w:pPr>
            <w:r w:rsidRPr="00210AC6">
              <w:rPr>
                <w:rFonts w:cs="Arial"/>
                <w:b/>
                <w:bCs/>
                <w:szCs w:val="16"/>
              </w:rPr>
              <w:t>Percentage of 4th Grade Children with Disabilities Included in Testing on the National Assessment of Educational Progress</w:t>
            </w:r>
          </w:p>
        </w:tc>
        <w:tc>
          <w:tcPr>
            <w:tcW w:w="833" w:type="pct"/>
          </w:tcPr>
          <w:p w14:paraId="5C0EC960" w14:textId="61075875" w:rsidR="00AC185D" w:rsidRPr="00210AC6" w:rsidRDefault="00AC185D" w:rsidP="00AC185D">
            <w:pPr>
              <w:rPr>
                <w:rFonts w:cs="Arial"/>
                <w:szCs w:val="16"/>
              </w:rPr>
            </w:pPr>
            <w:r w:rsidRPr="00210AC6">
              <w:rPr>
                <w:rFonts w:cs="Arial"/>
                <w:szCs w:val="16"/>
              </w:rPr>
              <w:t>92%</w:t>
            </w:r>
          </w:p>
        </w:tc>
        <w:tc>
          <w:tcPr>
            <w:tcW w:w="833" w:type="pct"/>
          </w:tcPr>
          <w:p w14:paraId="3E5057E5" w14:textId="74D3F3A3" w:rsidR="00AC185D" w:rsidRPr="00210AC6" w:rsidRDefault="00AC185D" w:rsidP="00AC185D">
            <w:pPr>
              <w:rPr>
                <w:rFonts w:cs="Arial"/>
                <w:szCs w:val="16"/>
              </w:rPr>
            </w:pPr>
            <w:r w:rsidRPr="00210AC6">
              <w:rPr>
                <w:rFonts w:cs="Arial"/>
                <w:szCs w:val="16"/>
              </w:rPr>
              <w:t>1</w:t>
            </w:r>
          </w:p>
        </w:tc>
      </w:tr>
      <w:tr w:rsidR="00AC185D" w:rsidRPr="00210AC6" w14:paraId="558A8BBA" w14:textId="77777777" w:rsidTr="00FB3F34">
        <w:tc>
          <w:tcPr>
            <w:tcW w:w="3334" w:type="pct"/>
          </w:tcPr>
          <w:p w14:paraId="1F4FB032" w14:textId="77777777" w:rsidR="00AC185D" w:rsidRPr="00210AC6" w:rsidRDefault="00AC185D" w:rsidP="00AC185D">
            <w:pPr>
              <w:rPr>
                <w:rFonts w:cs="Arial"/>
                <w:b/>
                <w:bCs/>
                <w:szCs w:val="16"/>
              </w:rPr>
            </w:pPr>
            <w:r w:rsidRPr="00210AC6">
              <w:rPr>
                <w:rFonts w:cs="Arial"/>
                <w:b/>
                <w:bCs/>
                <w:szCs w:val="16"/>
              </w:rPr>
              <w:t>Percentage of 8th Grade Children with Disabilities Scoring at Basic or Above on the National Assessment of Educational Progress</w:t>
            </w:r>
          </w:p>
        </w:tc>
        <w:tc>
          <w:tcPr>
            <w:tcW w:w="833" w:type="pct"/>
          </w:tcPr>
          <w:p w14:paraId="4F273831" w14:textId="3D65715F" w:rsidR="00AC185D" w:rsidRPr="00210AC6" w:rsidRDefault="00AC185D" w:rsidP="00AC185D">
            <w:pPr>
              <w:rPr>
                <w:rFonts w:cs="Arial"/>
                <w:szCs w:val="16"/>
              </w:rPr>
            </w:pPr>
            <w:r w:rsidRPr="00210AC6">
              <w:rPr>
                <w:rFonts w:cs="Arial"/>
                <w:szCs w:val="16"/>
              </w:rPr>
              <w:t>26%</w:t>
            </w:r>
          </w:p>
        </w:tc>
        <w:tc>
          <w:tcPr>
            <w:tcW w:w="833" w:type="pct"/>
          </w:tcPr>
          <w:p w14:paraId="2EA39B53" w14:textId="06051205" w:rsidR="00AC185D" w:rsidRPr="00210AC6" w:rsidRDefault="00AC185D" w:rsidP="00AC185D">
            <w:pPr>
              <w:rPr>
                <w:rFonts w:cs="Arial"/>
                <w:szCs w:val="16"/>
              </w:rPr>
            </w:pPr>
            <w:r w:rsidRPr="00210AC6">
              <w:rPr>
                <w:rFonts w:cs="Arial"/>
                <w:szCs w:val="16"/>
              </w:rPr>
              <w:t>1</w:t>
            </w:r>
          </w:p>
        </w:tc>
      </w:tr>
      <w:tr w:rsidR="00AC185D" w:rsidRPr="00210AC6" w14:paraId="13947FC1" w14:textId="77777777" w:rsidTr="00FB3F34">
        <w:tc>
          <w:tcPr>
            <w:tcW w:w="3334" w:type="pct"/>
          </w:tcPr>
          <w:p w14:paraId="3F1F50D6" w14:textId="77777777" w:rsidR="00AC185D" w:rsidRPr="00210AC6" w:rsidRDefault="00AC185D" w:rsidP="00AC185D">
            <w:pPr>
              <w:rPr>
                <w:rFonts w:cs="Arial"/>
                <w:b/>
                <w:bCs/>
                <w:szCs w:val="16"/>
              </w:rPr>
            </w:pPr>
            <w:r w:rsidRPr="00210AC6">
              <w:rPr>
                <w:rFonts w:cs="Arial"/>
                <w:b/>
                <w:bCs/>
                <w:szCs w:val="16"/>
              </w:rPr>
              <w:t>Percentage of 8th Grade Children with Disabilities Included in Testing on the National Assessment of Educational Progress</w:t>
            </w:r>
          </w:p>
        </w:tc>
        <w:tc>
          <w:tcPr>
            <w:tcW w:w="833" w:type="pct"/>
          </w:tcPr>
          <w:p w14:paraId="2F6CFBA8" w14:textId="5E8AA4EC" w:rsidR="00AC185D" w:rsidRPr="00210AC6" w:rsidRDefault="00AC185D" w:rsidP="00AC185D">
            <w:pPr>
              <w:rPr>
                <w:rFonts w:cs="Arial"/>
                <w:szCs w:val="16"/>
              </w:rPr>
            </w:pPr>
            <w:r w:rsidRPr="00210AC6">
              <w:rPr>
                <w:rFonts w:cs="Arial"/>
                <w:szCs w:val="16"/>
              </w:rPr>
              <w:t>88%</w:t>
            </w:r>
          </w:p>
        </w:tc>
        <w:tc>
          <w:tcPr>
            <w:tcW w:w="833" w:type="pct"/>
          </w:tcPr>
          <w:p w14:paraId="02FF34AD" w14:textId="55F2DC29" w:rsidR="00AC185D" w:rsidRPr="00210AC6" w:rsidRDefault="00AC185D" w:rsidP="00AC185D">
            <w:pPr>
              <w:rPr>
                <w:rFonts w:cs="Arial"/>
                <w:szCs w:val="16"/>
              </w:rPr>
            </w:pPr>
            <w:r w:rsidRPr="00210AC6">
              <w:rPr>
                <w:rFonts w:cs="Arial"/>
                <w:szCs w:val="16"/>
              </w:rPr>
              <w:t>1</w:t>
            </w:r>
          </w:p>
        </w:tc>
      </w:tr>
    </w:tbl>
    <w:p w14:paraId="07CD2882" w14:textId="5840DCDF" w:rsidR="00353EB1" w:rsidRDefault="00395B6C" w:rsidP="00BE0EEF">
      <w:pPr>
        <w:rPr>
          <w:rFonts w:cs="Arial"/>
          <w:b/>
          <w:bCs/>
          <w:szCs w:val="16"/>
        </w:rPr>
      </w:pPr>
      <w:r w:rsidRPr="00395B6C">
        <w:rPr>
          <w:rFonts w:cs="Arial"/>
          <w:b/>
          <w:bCs/>
          <w:szCs w:val="16"/>
        </w:rPr>
        <w:t>Math Assessment Elements</w:t>
      </w:r>
    </w:p>
    <w:tbl>
      <w:tblPr>
        <w:tblStyle w:val="TableGrid1"/>
        <w:tblW w:w="5009" w:type="pct"/>
        <w:tblLayout w:type="fixed"/>
        <w:tblLook w:val="04A0" w:firstRow="1" w:lastRow="0" w:firstColumn="1" w:lastColumn="0" w:noHBand="0" w:noVBand="1"/>
        <w:tblCaption w:val="BMTHENNSRSTCFFY"/>
      </w:tblPr>
      <w:tblGrid>
        <w:gridCol w:w="7205"/>
        <w:gridCol w:w="1803"/>
        <w:gridCol w:w="1801"/>
      </w:tblGrid>
      <w:tr w:rsidR="00BE0EEF" w:rsidRPr="00210AC6" w14:paraId="469D669E" w14:textId="77777777" w:rsidTr="00C74568">
        <w:trPr>
          <w:tblHeader/>
        </w:trPr>
        <w:tc>
          <w:tcPr>
            <w:tcW w:w="3333" w:type="pct"/>
          </w:tcPr>
          <w:p w14:paraId="6D4794B6" w14:textId="77777777" w:rsidR="00BE0EEF" w:rsidRPr="00210AC6" w:rsidRDefault="00BE0EEF" w:rsidP="002C333C">
            <w:pPr>
              <w:rPr>
                <w:rFonts w:cs="Arial"/>
                <w:b/>
                <w:bCs/>
                <w:szCs w:val="16"/>
              </w:rPr>
            </w:pPr>
            <w:r w:rsidRPr="00210AC6">
              <w:rPr>
                <w:rFonts w:cs="Arial"/>
                <w:b/>
                <w:bCs/>
                <w:szCs w:val="16"/>
              </w:rPr>
              <w:t>Math Assessment Elements</w:t>
            </w:r>
          </w:p>
        </w:tc>
        <w:tc>
          <w:tcPr>
            <w:tcW w:w="834" w:type="pct"/>
          </w:tcPr>
          <w:p w14:paraId="6E210526" w14:textId="77777777" w:rsidR="00BE0EEF" w:rsidRPr="00210AC6" w:rsidRDefault="00BE0EEF" w:rsidP="002C333C">
            <w:pPr>
              <w:rPr>
                <w:rFonts w:cs="Arial"/>
                <w:b/>
                <w:bCs/>
                <w:szCs w:val="16"/>
              </w:rPr>
            </w:pPr>
            <w:r w:rsidRPr="00210AC6">
              <w:rPr>
                <w:rFonts w:cs="Arial"/>
                <w:b/>
                <w:bCs/>
                <w:szCs w:val="16"/>
              </w:rPr>
              <w:t>Performance (%)</w:t>
            </w:r>
          </w:p>
        </w:tc>
        <w:tc>
          <w:tcPr>
            <w:tcW w:w="833" w:type="pct"/>
          </w:tcPr>
          <w:p w14:paraId="03CF668A" w14:textId="77777777" w:rsidR="00BE0EEF" w:rsidRPr="00210AC6" w:rsidRDefault="00BE0EEF" w:rsidP="002C333C">
            <w:pPr>
              <w:rPr>
                <w:rFonts w:cs="Arial"/>
                <w:b/>
                <w:bCs/>
                <w:szCs w:val="16"/>
              </w:rPr>
            </w:pPr>
            <w:r w:rsidRPr="00210AC6">
              <w:rPr>
                <w:rFonts w:cs="Arial"/>
                <w:b/>
                <w:bCs/>
                <w:szCs w:val="16"/>
              </w:rPr>
              <w:t>Score</w:t>
            </w:r>
          </w:p>
        </w:tc>
      </w:tr>
      <w:tr w:rsidR="0019671E" w:rsidRPr="00210AC6" w14:paraId="64DF3CC7" w14:textId="77777777" w:rsidTr="00FB3F34">
        <w:tc>
          <w:tcPr>
            <w:tcW w:w="3333" w:type="pct"/>
          </w:tcPr>
          <w:p w14:paraId="1F7694DD" w14:textId="77777777" w:rsidR="0019671E" w:rsidRPr="00210AC6" w:rsidRDefault="0019671E" w:rsidP="0019671E">
            <w:pPr>
              <w:rPr>
                <w:rFonts w:cs="Arial"/>
                <w:b/>
                <w:bCs/>
                <w:szCs w:val="16"/>
              </w:rPr>
            </w:pPr>
            <w:r w:rsidRPr="00210AC6">
              <w:rPr>
                <w:rFonts w:cs="Arial"/>
                <w:b/>
                <w:bCs/>
                <w:szCs w:val="16"/>
              </w:rPr>
              <w:t>Percentage of 4th Grade Children with Disabilities Participating in Regular Statewide Assessments</w:t>
            </w:r>
          </w:p>
        </w:tc>
        <w:tc>
          <w:tcPr>
            <w:tcW w:w="834" w:type="pct"/>
          </w:tcPr>
          <w:p w14:paraId="2339B77B" w14:textId="2D4D0198" w:rsidR="0019671E" w:rsidRPr="00210AC6" w:rsidRDefault="0019671E" w:rsidP="0019671E">
            <w:pPr>
              <w:rPr>
                <w:rFonts w:cs="Arial"/>
                <w:szCs w:val="16"/>
              </w:rPr>
            </w:pPr>
            <w:r w:rsidRPr="00210AC6">
              <w:rPr>
                <w:rFonts w:cs="Arial"/>
                <w:szCs w:val="16"/>
              </w:rPr>
              <w:t>91%</w:t>
            </w:r>
          </w:p>
        </w:tc>
        <w:tc>
          <w:tcPr>
            <w:tcW w:w="833" w:type="pct"/>
          </w:tcPr>
          <w:p w14:paraId="7840B150" w14:textId="6A0FC50C" w:rsidR="0019671E" w:rsidRPr="00210AC6" w:rsidRDefault="0019671E" w:rsidP="0019671E">
            <w:pPr>
              <w:rPr>
                <w:rFonts w:cs="Arial"/>
                <w:szCs w:val="16"/>
              </w:rPr>
            </w:pPr>
            <w:r w:rsidRPr="00210AC6">
              <w:rPr>
                <w:rFonts w:cs="Arial"/>
                <w:szCs w:val="16"/>
              </w:rPr>
              <w:t>2</w:t>
            </w:r>
          </w:p>
        </w:tc>
      </w:tr>
      <w:tr w:rsidR="0019671E" w:rsidRPr="00210AC6" w14:paraId="76362DFE" w14:textId="77777777" w:rsidTr="00FB3F34">
        <w:tc>
          <w:tcPr>
            <w:tcW w:w="3333" w:type="pct"/>
          </w:tcPr>
          <w:p w14:paraId="632B7BBA" w14:textId="77777777" w:rsidR="0019671E" w:rsidRPr="00210AC6" w:rsidRDefault="0019671E" w:rsidP="0019671E">
            <w:pPr>
              <w:rPr>
                <w:rFonts w:cs="Arial"/>
                <w:b/>
                <w:bCs/>
                <w:szCs w:val="16"/>
              </w:rPr>
            </w:pPr>
            <w:r w:rsidRPr="00210AC6">
              <w:rPr>
                <w:rFonts w:cs="Arial"/>
                <w:b/>
                <w:bCs/>
                <w:szCs w:val="16"/>
              </w:rPr>
              <w:t>Percentage of 8th Grade Children with Disabilities Participating in Regular Statewide Assessments</w:t>
            </w:r>
          </w:p>
        </w:tc>
        <w:tc>
          <w:tcPr>
            <w:tcW w:w="834" w:type="pct"/>
          </w:tcPr>
          <w:p w14:paraId="16367BD2" w14:textId="6986E939" w:rsidR="0019671E" w:rsidRPr="00210AC6" w:rsidRDefault="0019671E" w:rsidP="0019671E">
            <w:pPr>
              <w:rPr>
                <w:rFonts w:cs="Arial"/>
                <w:szCs w:val="16"/>
              </w:rPr>
            </w:pPr>
            <w:r w:rsidRPr="00210AC6">
              <w:rPr>
                <w:rFonts w:cs="Arial"/>
                <w:szCs w:val="16"/>
              </w:rPr>
              <w:t>88%</w:t>
            </w:r>
          </w:p>
        </w:tc>
        <w:tc>
          <w:tcPr>
            <w:tcW w:w="833" w:type="pct"/>
          </w:tcPr>
          <w:p w14:paraId="4338D452" w14:textId="060DA0F7" w:rsidR="0019671E" w:rsidRPr="00210AC6" w:rsidRDefault="0019671E" w:rsidP="0019671E">
            <w:pPr>
              <w:rPr>
                <w:rFonts w:cs="Arial"/>
                <w:szCs w:val="16"/>
              </w:rPr>
            </w:pPr>
            <w:r w:rsidRPr="00210AC6">
              <w:rPr>
                <w:rFonts w:cs="Arial"/>
                <w:szCs w:val="16"/>
              </w:rPr>
              <w:t>1</w:t>
            </w:r>
          </w:p>
        </w:tc>
      </w:tr>
      <w:tr w:rsidR="0019671E" w:rsidRPr="00210AC6" w14:paraId="6ACA5C8B" w14:textId="77777777" w:rsidTr="00FB3F34">
        <w:tc>
          <w:tcPr>
            <w:tcW w:w="3333" w:type="pct"/>
          </w:tcPr>
          <w:p w14:paraId="178F722C" w14:textId="77777777" w:rsidR="0019671E" w:rsidRPr="00210AC6" w:rsidRDefault="0019671E" w:rsidP="0019671E">
            <w:pPr>
              <w:rPr>
                <w:rFonts w:cs="Arial"/>
                <w:b/>
                <w:bCs/>
                <w:szCs w:val="16"/>
              </w:rPr>
            </w:pPr>
            <w:r w:rsidRPr="00210AC6">
              <w:rPr>
                <w:rFonts w:cs="Arial"/>
                <w:b/>
                <w:bCs/>
                <w:szCs w:val="16"/>
              </w:rPr>
              <w:t>Percentage of 4th Grade Children with Disabilities Scoring at Basic or Above on the National Assessment of Educational Progress</w:t>
            </w:r>
          </w:p>
        </w:tc>
        <w:tc>
          <w:tcPr>
            <w:tcW w:w="834" w:type="pct"/>
          </w:tcPr>
          <w:p w14:paraId="751BB010" w14:textId="709ECD3F" w:rsidR="0019671E" w:rsidRPr="00210AC6" w:rsidRDefault="0019671E" w:rsidP="0019671E">
            <w:pPr>
              <w:rPr>
                <w:rFonts w:cs="Arial"/>
                <w:szCs w:val="16"/>
              </w:rPr>
            </w:pPr>
            <w:r w:rsidRPr="00210AC6">
              <w:rPr>
                <w:rFonts w:cs="Arial"/>
                <w:szCs w:val="16"/>
              </w:rPr>
              <w:t>41%</w:t>
            </w:r>
          </w:p>
        </w:tc>
        <w:tc>
          <w:tcPr>
            <w:tcW w:w="833" w:type="pct"/>
          </w:tcPr>
          <w:p w14:paraId="423E4ADA" w14:textId="0CADE31A" w:rsidR="0019671E" w:rsidRPr="00210AC6" w:rsidRDefault="0019671E" w:rsidP="0019671E">
            <w:pPr>
              <w:rPr>
                <w:rFonts w:cs="Arial"/>
                <w:szCs w:val="16"/>
              </w:rPr>
            </w:pPr>
            <w:r w:rsidRPr="00210AC6">
              <w:rPr>
                <w:rFonts w:cs="Arial"/>
                <w:szCs w:val="16"/>
              </w:rPr>
              <w:t>1</w:t>
            </w:r>
          </w:p>
        </w:tc>
      </w:tr>
      <w:tr w:rsidR="0019671E" w:rsidRPr="00210AC6" w14:paraId="3940F80A" w14:textId="77777777" w:rsidTr="00FB3F34">
        <w:tc>
          <w:tcPr>
            <w:tcW w:w="3333" w:type="pct"/>
          </w:tcPr>
          <w:p w14:paraId="704D280B" w14:textId="77777777" w:rsidR="0019671E" w:rsidRPr="00210AC6" w:rsidRDefault="0019671E" w:rsidP="0019671E">
            <w:pPr>
              <w:rPr>
                <w:rFonts w:cs="Arial"/>
                <w:b/>
                <w:bCs/>
                <w:szCs w:val="16"/>
              </w:rPr>
            </w:pPr>
            <w:r w:rsidRPr="00210AC6">
              <w:rPr>
                <w:rFonts w:cs="Arial"/>
                <w:b/>
                <w:bCs/>
                <w:szCs w:val="16"/>
              </w:rPr>
              <w:t>Percentage of 4th Grade Children with Disabilities Included in Testing on the National Assessment of Educational Progress</w:t>
            </w:r>
          </w:p>
        </w:tc>
        <w:tc>
          <w:tcPr>
            <w:tcW w:w="834" w:type="pct"/>
          </w:tcPr>
          <w:p w14:paraId="5B062F65" w14:textId="5FD7F636" w:rsidR="0019671E" w:rsidRPr="00210AC6" w:rsidRDefault="0019671E" w:rsidP="0019671E">
            <w:pPr>
              <w:rPr>
                <w:rFonts w:cs="Arial"/>
                <w:szCs w:val="16"/>
              </w:rPr>
            </w:pPr>
            <w:r w:rsidRPr="00210AC6">
              <w:rPr>
                <w:rFonts w:cs="Arial"/>
                <w:szCs w:val="16"/>
              </w:rPr>
              <w:t>89%</w:t>
            </w:r>
          </w:p>
        </w:tc>
        <w:tc>
          <w:tcPr>
            <w:tcW w:w="833" w:type="pct"/>
          </w:tcPr>
          <w:p w14:paraId="17552A35" w14:textId="1A894F87" w:rsidR="0019671E" w:rsidRPr="00210AC6" w:rsidRDefault="0019671E" w:rsidP="0019671E">
            <w:pPr>
              <w:rPr>
                <w:rFonts w:cs="Arial"/>
                <w:szCs w:val="16"/>
              </w:rPr>
            </w:pPr>
            <w:r w:rsidRPr="00210AC6">
              <w:rPr>
                <w:rFonts w:cs="Arial"/>
                <w:szCs w:val="16"/>
              </w:rPr>
              <w:t>1</w:t>
            </w:r>
          </w:p>
        </w:tc>
      </w:tr>
      <w:tr w:rsidR="0019671E" w:rsidRPr="00210AC6" w14:paraId="3328409B" w14:textId="77777777" w:rsidTr="00FB3F34">
        <w:tc>
          <w:tcPr>
            <w:tcW w:w="3333" w:type="pct"/>
          </w:tcPr>
          <w:p w14:paraId="0C7867BC" w14:textId="77777777" w:rsidR="0019671E" w:rsidRPr="00210AC6" w:rsidRDefault="0019671E" w:rsidP="0019671E">
            <w:pPr>
              <w:rPr>
                <w:rFonts w:cs="Arial"/>
                <w:b/>
                <w:bCs/>
                <w:szCs w:val="16"/>
              </w:rPr>
            </w:pPr>
            <w:r w:rsidRPr="00210AC6">
              <w:rPr>
                <w:rFonts w:cs="Arial"/>
                <w:b/>
                <w:bCs/>
                <w:szCs w:val="16"/>
              </w:rPr>
              <w:t>Percentage of 8th Grade Children with Disabilities Scoring at Basic or Above on the National Assessment of Educational Progress</w:t>
            </w:r>
          </w:p>
        </w:tc>
        <w:tc>
          <w:tcPr>
            <w:tcW w:w="834" w:type="pct"/>
          </w:tcPr>
          <w:p w14:paraId="02305172" w14:textId="6F908621" w:rsidR="0019671E" w:rsidRPr="00210AC6" w:rsidRDefault="0019671E" w:rsidP="0019671E">
            <w:pPr>
              <w:rPr>
                <w:rFonts w:cs="Arial"/>
                <w:szCs w:val="16"/>
              </w:rPr>
            </w:pPr>
            <w:r w:rsidRPr="00210AC6">
              <w:rPr>
                <w:rFonts w:cs="Arial"/>
                <w:szCs w:val="16"/>
              </w:rPr>
              <w:t>18%</w:t>
            </w:r>
          </w:p>
        </w:tc>
        <w:tc>
          <w:tcPr>
            <w:tcW w:w="833" w:type="pct"/>
          </w:tcPr>
          <w:p w14:paraId="12B13418" w14:textId="014DA8D1" w:rsidR="0019671E" w:rsidRPr="00210AC6" w:rsidRDefault="0019671E" w:rsidP="0019671E">
            <w:pPr>
              <w:rPr>
                <w:rFonts w:cs="Arial"/>
                <w:szCs w:val="16"/>
              </w:rPr>
            </w:pPr>
            <w:r w:rsidRPr="00210AC6">
              <w:rPr>
                <w:rFonts w:cs="Arial"/>
                <w:szCs w:val="16"/>
              </w:rPr>
              <w:t>1</w:t>
            </w:r>
          </w:p>
        </w:tc>
      </w:tr>
      <w:tr w:rsidR="0019671E" w:rsidRPr="00210AC6" w14:paraId="7EE431B9" w14:textId="77777777" w:rsidTr="00FB3F34">
        <w:tc>
          <w:tcPr>
            <w:tcW w:w="3333" w:type="pct"/>
          </w:tcPr>
          <w:p w14:paraId="2A435A85" w14:textId="77777777" w:rsidR="0019671E" w:rsidRPr="00210AC6" w:rsidRDefault="0019671E" w:rsidP="0019671E">
            <w:pPr>
              <w:rPr>
                <w:rFonts w:cs="Arial"/>
                <w:b/>
                <w:bCs/>
                <w:szCs w:val="16"/>
              </w:rPr>
            </w:pPr>
            <w:r w:rsidRPr="00210AC6">
              <w:rPr>
                <w:rFonts w:cs="Arial"/>
                <w:b/>
                <w:bCs/>
                <w:szCs w:val="16"/>
              </w:rPr>
              <w:t>Percentage of 8th Grade Children with Disabilities Included in Testing on the National Assessment of Educational Progress</w:t>
            </w:r>
          </w:p>
        </w:tc>
        <w:tc>
          <w:tcPr>
            <w:tcW w:w="834" w:type="pct"/>
          </w:tcPr>
          <w:p w14:paraId="74F45C7B" w14:textId="79EE0E57" w:rsidR="0019671E" w:rsidRPr="00210AC6" w:rsidRDefault="0019671E" w:rsidP="0019671E">
            <w:pPr>
              <w:rPr>
                <w:rFonts w:cs="Arial"/>
                <w:szCs w:val="16"/>
              </w:rPr>
            </w:pPr>
            <w:r w:rsidRPr="00210AC6">
              <w:rPr>
                <w:rFonts w:cs="Arial"/>
                <w:szCs w:val="16"/>
              </w:rPr>
              <w:t>93%</w:t>
            </w:r>
          </w:p>
        </w:tc>
        <w:tc>
          <w:tcPr>
            <w:tcW w:w="833" w:type="pct"/>
          </w:tcPr>
          <w:p w14:paraId="5D8CD56A" w14:textId="372C2AD5" w:rsidR="0019671E" w:rsidRPr="00210AC6" w:rsidRDefault="0019671E" w:rsidP="0019671E">
            <w:pPr>
              <w:rPr>
                <w:rFonts w:cs="Arial"/>
                <w:szCs w:val="16"/>
              </w:rPr>
            </w:pPr>
            <w:r w:rsidRPr="00210AC6">
              <w:rPr>
                <w:rFonts w:cs="Arial"/>
                <w:szCs w:val="16"/>
              </w:rPr>
              <w:t>1</w:t>
            </w:r>
          </w:p>
        </w:tc>
      </w:tr>
    </w:tbl>
    <w:p w14:paraId="26B2A12B" w14:textId="1CD408FC" w:rsidR="00570930" w:rsidRDefault="00570930">
      <w:pPr>
        <w:spacing w:before="0" w:after="200" w:line="276" w:lineRule="auto"/>
        <w:rPr>
          <w:rFonts w:cs="Arial"/>
          <w:b/>
          <w:bCs/>
          <w:szCs w:val="16"/>
        </w:rPr>
      </w:pPr>
      <w:r>
        <w:rPr>
          <w:rFonts w:cs="Arial"/>
          <w:b/>
          <w:bCs/>
          <w:szCs w:val="16"/>
        </w:rPr>
        <w:br w:type="page"/>
      </w:r>
    </w:p>
    <w:p w14:paraId="575750B6" w14:textId="01189256" w:rsidR="004613BA" w:rsidRDefault="00BE0EEF" w:rsidP="00BE0EEF">
      <w:pPr>
        <w:rPr>
          <w:rFonts w:cs="Arial"/>
          <w:b/>
          <w:bCs/>
          <w:szCs w:val="16"/>
        </w:rPr>
      </w:pPr>
      <w:r w:rsidRPr="00210AC6">
        <w:rPr>
          <w:rFonts w:cs="Arial"/>
          <w:b/>
          <w:bCs/>
          <w:szCs w:val="16"/>
        </w:rPr>
        <w:t>Exiting Data Elements</w:t>
      </w:r>
    </w:p>
    <w:tbl>
      <w:tblPr>
        <w:tblStyle w:val="TableGrid1"/>
        <w:tblW w:w="5000" w:type="pct"/>
        <w:tblLook w:val="04A0" w:firstRow="1" w:lastRow="0" w:firstColumn="1" w:lastColumn="0" w:noHBand="0" w:noVBand="1"/>
        <w:tblCaption w:val="BENNSRSTCFFYEXIT"/>
      </w:tblPr>
      <w:tblGrid>
        <w:gridCol w:w="4939"/>
        <w:gridCol w:w="2877"/>
        <w:gridCol w:w="2974"/>
      </w:tblGrid>
      <w:tr w:rsidR="0075626F" w14:paraId="7384A561" w14:textId="77777777">
        <w:trPr>
          <w:divId w:val="380713603"/>
          <w:tblHeader/>
        </w:trPr>
        <w:tc>
          <w:tcPr>
            <w:tcW w:w="2289" w:type="pct"/>
            <w:tcBorders>
              <w:top w:val="single" w:sz="4" w:space="0" w:color="auto"/>
              <w:left w:val="single" w:sz="4" w:space="0" w:color="auto"/>
              <w:bottom w:val="single" w:sz="4" w:space="0" w:color="auto"/>
              <w:right w:val="single" w:sz="4" w:space="0" w:color="auto"/>
            </w:tcBorders>
            <w:hideMark/>
          </w:tcPr>
          <w:p w14:paraId="7D74420D" w14:textId="77777777" w:rsidR="0075626F" w:rsidRDefault="0075626F" w:rsidP="0075626F">
            <w:pPr>
              <w:rPr>
                <w:rFonts w:cs="Arial"/>
                <w:b/>
                <w:bCs/>
                <w:szCs w:val="16"/>
              </w:rPr>
            </w:pPr>
            <w:r>
              <w:rPr>
                <w:rFonts w:cs="Arial"/>
                <w:b/>
                <w:bCs/>
                <w:szCs w:val="16"/>
              </w:rPr>
              <w:t>Exiting Data Elements</w:t>
            </w:r>
          </w:p>
        </w:tc>
        <w:tc>
          <w:tcPr>
            <w:tcW w:w="1333" w:type="pct"/>
            <w:tcBorders>
              <w:top w:val="single" w:sz="4" w:space="0" w:color="auto"/>
              <w:left w:val="single" w:sz="4" w:space="0" w:color="auto"/>
              <w:bottom w:val="single" w:sz="4" w:space="0" w:color="auto"/>
              <w:right w:val="single" w:sz="4" w:space="0" w:color="auto"/>
            </w:tcBorders>
            <w:hideMark/>
          </w:tcPr>
          <w:p w14:paraId="7016EA73" w14:textId="77777777" w:rsidR="0075626F" w:rsidRDefault="0075626F" w:rsidP="0075626F">
            <w:pPr>
              <w:rPr>
                <w:rFonts w:cs="Arial"/>
                <w:b/>
                <w:bCs/>
                <w:szCs w:val="16"/>
              </w:rPr>
            </w:pPr>
            <w:r>
              <w:rPr>
                <w:rFonts w:cs="Arial"/>
                <w:b/>
                <w:bCs/>
                <w:szCs w:val="16"/>
              </w:rPr>
              <w:t>Performance (%)</w:t>
            </w:r>
          </w:p>
        </w:tc>
        <w:tc>
          <w:tcPr>
            <w:tcW w:w="1378" w:type="pct"/>
            <w:tcBorders>
              <w:top w:val="single" w:sz="4" w:space="0" w:color="auto"/>
              <w:left w:val="single" w:sz="4" w:space="0" w:color="auto"/>
              <w:bottom w:val="single" w:sz="4" w:space="0" w:color="auto"/>
              <w:right w:val="single" w:sz="4" w:space="0" w:color="auto"/>
            </w:tcBorders>
            <w:hideMark/>
          </w:tcPr>
          <w:p w14:paraId="3A2D3630" w14:textId="77777777" w:rsidR="0075626F" w:rsidRDefault="0075626F" w:rsidP="0075626F">
            <w:pPr>
              <w:rPr>
                <w:rFonts w:cs="Arial"/>
                <w:b/>
                <w:bCs/>
                <w:szCs w:val="16"/>
              </w:rPr>
            </w:pPr>
            <w:r>
              <w:rPr>
                <w:rFonts w:cs="Arial"/>
                <w:b/>
                <w:bCs/>
                <w:szCs w:val="16"/>
              </w:rPr>
              <w:t>Score</w:t>
            </w:r>
          </w:p>
        </w:tc>
      </w:tr>
      <w:tr w:rsidR="0075626F" w14:paraId="47FF2742"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42C96131" w14:textId="77777777" w:rsidR="0075626F" w:rsidRDefault="0075626F" w:rsidP="0075626F">
            <w:pPr>
              <w:rPr>
                <w:rFonts w:cs="Arial"/>
                <w:b/>
                <w:bCs/>
                <w:szCs w:val="16"/>
              </w:rPr>
            </w:pPr>
            <w:r>
              <w:rPr>
                <w:rFonts w:cs="Arial"/>
                <w:b/>
                <w:bCs/>
                <w:szCs w:val="16"/>
              </w:rPr>
              <w:t>Percentage of Children with Disabilities who Dropped Out</w:t>
            </w:r>
          </w:p>
        </w:tc>
        <w:tc>
          <w:tcPr>
            <w:tcW w:w="1333" w:type="pct"/>
            <w:tcBorders>
              <w:top w:val="single" w:sz="4" w:space="0" w:color="auto"/>
              <w:left w:val="single" w:sz="4" w:space="0" w:color="auto"/>
              <w:bottom w:val="single" w:sz="4" w:space="0" w:color="auto"/>
              <w:right w:val="single" w:sz="4" w:space="0" w:color="auto"/>
            </w:tcBorders>
            <w:hideMark/>
          </w:tcPr>
          <w:p w14:paraId="42A25E75" w14:textId="77777777" w:rsidR="0075626F" w:rsidRDefault="0075626F" w:rsidP="0075626F">
            <w:pPr>
              <w:rPr>
                <w:rFonts w:cs="Arial"/>
                <w:szCs w:val="16"/>
              </w:rPr>
            </w:pPr>
            <w:r>
              <w:rPr>
                <w:rFonts w:cs="Arial"/>
                <w:szCs w:val="16"/>
              </w:rPr>
              <w:t>28</w:t>
            </w:r>
          </w:p>
        </w:tc>
        <w:tc>
          <w:tcPr>
            <w:tcW w:w="1378" w:type="pct"/>
            <w:tcBorders>
              <w:top w:val="single" w:sz="4" w:space="0" w:color="auto"/>
              <w:left w:val="single" w:sz="4" w:space="0" w:color="auto"/>
              <w:bottom w:val="single" w:sz="4" w:space="0" w:color="auto"/>
              <w:right w:val="single" w:sz="4" w:space="0" w:color="auto"/>
            </w:tcBorders>
            <w:hideMark/>
          </w:tcPr>
          <w:p w14:paraId="6A0E772F" w14:textId="77777777" w:rsidR="0075626F" w:rsidRDefault="0075626F" w:rsidP="0075626F">
            <w:pPr>
              <w:rPr>
                <w:rFonts w:cs="Arial"/>
                <w:szCs w:val="16"/>
              </w:rPr>
            </w:pPr>
            <w:r>
              <w:rPr>
                <w:rFonts w:cs="Arial"/>
                <w:szCs w:val="16"/>
              </w:rPr>
              <w:t>0</w:t>
            </w:r>
          </w:p>
        </w:tc>
      </w:tr>
      <w:tr w:rsidR="0075626F" w14:paraId="7946F4E5"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2291D902" w14:textId="2BEE28A5" w:rsidR="0075626F" w:rsidRDefault="0075626F" w:rsidP="0075626F">
            <w:pPr>
              <w:rPr>
                <w:rFonts w:cs="Arial"/>
                <w:b/>
                <w:bCs/>
                <w:szCs w:val="16"/>
              </w:rPr>
            </w:pPr>
            <w:r>
              <w:rPr>
                <w:rFonts w:cs="Arial"/>
                <w:b/>
                <w:bCs/>
                <w:szCs w:val="16"/>
              </w:rPr>
              <w:t>Percentage of Children with Disabilities who Graduated with a Regular High School Diploma**</w:t>
            </w:r>
          </w:p>
        </w:tc>
        <w:tc>
          <w:tcPr>
            <w:tcW w:w="1333" w:type="pct"/>
            <w:tcBorders>
              <w:top w:val="single" w:sz="4" w:space="0" w:color="auto"/>
              <w:left w:val="single" w:sz="4" w:space="0" w:color="auto"/>
              <w:bottom w:val="single" w:sz="4" w:space="0" w:color="auto"/>
              <w:right w:val="single" w:sz="4" w:space="0" w:color="auto"/>
            </w:tcBorders>
            <w:hideMark/>
          </w:tcPr>
          <w:p w14:paraId="503EE6E2" w14:textId="77777777" w:rsidR="0075626F" w:rsidRDefault="0075626F" w:rsidP="0075626F">
            <w:pPr>
              <w:rPr>
                <w:rFonts w:cs="Arial"/>
                <w:szCs w:val="16"/>
              </w:rPr>
            </w:pPr>
            <w:r>
              <w:rPr>
                <w:rFonts w:cs="Arial"/>
                <w:szCs w:val="16"/>
              </w:rPr>
              <w:t>72</w:t>
            </w:r>
          </w:p>
        </w:tc>
        <w:tc>
          <w:tcPr>
            <w:tcW w:w="1378" w:type="pct"/>
            <w:tcBorders>
              <w:top w:val="single" w:sz="4" w:space="0" w:color="auto"/>
              <w:left w:val="single" w:sz="4" w:space="0" w:color="auto"/>
              <w:bottom w:val="single" w:sz="4" w:space="0" w:color="auto"/>
              <w:right w:val="single" w:sz="4" w:space="0" w:color="auto"/>
            </w:tcBorders>
            <w:hideMark/>
          </w:tcPr>
          <w:p w14:paraId="182C5F0B" w14:textId="77777777" w:rsidR="0075626F" w:rsidRDefault="0075626F" w:rsidP="0075626F">
            <w:pPr>
              <w:rPr>
                <w:rFonts w:cs="Arial"/>
                <w:szCs w:val="16"/>
              </w:rPr>
            </w:pPr>
            <w:r>
              <w:rPr>
                <w:rFonts w:cs="Arial"/>
                <w:szCs w:val="16"/>
              </w:rPr>
              <w:t>1</w:t>
            </w:r>
          </w:p>
        </w:tc>
      </w:tr>
    </w:tbl>
    <w:p w14:paraId="51FBD914" w14:textId="45AB4206" w:rsidR="0075626F" w:rsidRDefault="0075626F" w:rsidP="0075626F">
      <w:pPr>
        <w:spacing w:before="0" w:after="0"/>
        <w:rPr>
          <w:rFonts w:cs="Arial"/>
          <w:szCs w:val="16"/>
        </w:rPr>
      </w:pPr>
      <w:r>
        <w:rPr>
          <w:rFonts w:cs="Arial"/>
          <w:szCs w:val="16"/>
        </w:rPr>
        <w:t>*Due to privacy concerns the Department has chosen to suppress this calculation.</w:t>
      </w:r>
    </w:p>
    <w:p w14:paraId="0C2E315C" w14:textId="00ACC19C" w:rsidR="00D12506" w:rsidRDefault="00C56EE8" w:rsidP="00BE0EEF">
      <w:pPr>
        <w:rPr>
          <w:rFonts w:cstheme="minorHAnsi"/>
          <w:szCs w:val="16"/>
        </w:rPr>
      </w:pPr>
      <w:r>
        <w:rPr>
          <w:rFonts w:cstheme="minorHAnsi"/>
          <w:szCs w:val="16"/>
        </w:rPr>
        <w:t>**When providing exiting data under section 618 of the IDEA, States are required to report on the number of students with disabilities who exited an educational program through receipt of a regular high school diploma. These students meet the same standards for graduation as those for students without disabilities. As explained in 34 C.F.R. § 300.102(a)(3)(iv), in effect June 30, 2017, “the term regular high school diploma means the standard high school diploma awarded to the preponderance of students in the State that is fully aligned with State standards, or a higher diploma, except that a regular high school diploma shall not be aligned to the alternate academic achievement standards described in section 1111(b)(1)(E) of the ESEA. A regular high school diploma does not include a recognized equivalent of a diploma, such as a general equivalency diploma, certificate of completion, certificate of attendance, or similar lesser credential.”</w:t>
      </w:r>
    </w:p>
    <w:p w14:paraId="0F9F6077" w14:textId="77777777" w:rsidR="00D12506" w:rsidRDefault="00D12506" w:rsidP="00BE0EEF">
      <w:pPr>
        <w:rPr>
          <w:rFonts w:cs="Arial"/>
          <w:b/>
          <w:bCs/>
          <w:szCs w:val="16"/>
        </w:rPr>
      </w:pPr>
    </w:p>
    <w:p w14:paraId="472B8AF6" w14:textId="67D424CA" w:rsidR="00BE0EEF" w:rsidRPr="00210AC6" w:rsidRDefault="00D12506" w:rsidP="00D12506">
      <w:pPr>
        <w:spacing w:before="0" w:after="200" w:line="276" w:lineRule="auto"/>
        <w:rPr>
          <w:rFonts w:cs="Arial"/>
          <w:b/>
          <w:bCs/>
          <w:szCs w:val="16"/>
        </w:rPr>
      </w:pPr>
      <w:r>
        <w:rPr>
          <w:rFonts w:cs="Arial"/>
          <w:b/>
          <w:bCs/>
          <w:szCs w:val="16"/>
        </w:rPr>
        <w:br w:type="page"/>
      </w:r>
      <w:r w:rsidR="00BE0EEF" w:rsidRPr="00210AC6">
        <w:rPr>
          <w:rFonts w:cs="Arial"/>
          <w:b/>
          <w:bCs/>
          <w:szCs w:val="16"/>
        </w:rPr>
        <w:t>2023 Part B Compliance Matrix</w:t>
      </w:r>
    </w:p>
    <w:tbl>
      <w:tblPr>
        <w:tblStyle w:val="TableGrid1"/>
        <w:tblW w:w="5004" w:type="pct"/>
        <w:tblLayout w:type="fixed"/>
        <w:tblLook w:val="04A0" w:firstRow="1" w:lastRow="0" w:firstColumn="1" w:lastColumn="0" w:noHBand="0" w:noVBand="1"/>
        <w:tblCaption w:val="BENNSRSTCFFYCMP"/>
      </w:tblPr>
      <w:tblGrid>
        <w:gridCol w:w="5408"/>
        <w:gridCol w:w="1797"/>
        <w:gridCol w:w="1797"/>
        <w:gridCol w:w="1797"/>
      </w:tblGrid>
      <w:tr w:rsidR="00BE0EEF" w:rsidRPr="00210AC6" w14:paraId="5D2BF1AF" w14:textId="77777777" w:rsidTr="00C74568">
        <w:trPr>
          <w:tblHeader/>
        </w:trPr>
        <w:tc>
          <w:tcPr>
            <w:tcW w:w="2504" w:type="pct"/>
          </w:tcPr>
          <w:p w14:paraId="6C7ED070" w14:textId="77777777" w:rsidR="00BE0EEF" w:rsidRPr="00210AC6" w:rsidRDefault="00BE0EEF" w:rsidP="002C333C">
            <w:pPr>
              <w:rPr>
                <w:rFonts w:cs="Arial"/>
                <w:b/>
                <w:bCs/>
                <w:szCs w:val="16"/>
              </w:rPr>
            </w:pPr>
            <w:r w:rsidRPr="00210AC6">
              <w:rPr>
                <w:rFonts w:cs="Arial"/>
                <w:b/>
                <w:bCs/>
                <w:szCs w:val="16"/>
              </w:rPr>
              <w:t>Part B Compliance Indicator</w:t>
            </w:r>
            <w:r w:rsidRPr="00210AC6">
              <w:rPr>
                <w:rStyle w:val="FootnoteReference"/>
                <w:rFonts w:cs="Arial"/>
                <w:b/>
                <w:bCs/>
                <w:szCs w:val="16"/>
              </w:rPr>
              <w:footnoteReference w:id="3"/>
            </w:r>
          </w:p>
        </w:tc>
        <w:tc>
          <w:tcPr>
            <w:tcW w:w="832" w:type="pct"/>
          </w:tcPr>
          <w:p w14:paraId="580F470E" w14:textId="77777777" w:rsidR="00BE0EEF" w:rsidRPr="00210AC6" w:rsidRDefault="00BE0EEF" w:rsidP="002C333C">
            <w:pPr>
              <w:rPr>
                <w:rFonts w:cs="Arial"/>
                <w:b/>
                <w:bCs/>
                <w:szCs w:val="16"/>
              </w:rPr>
            </w:pPr>
            <w:r w:rsidRPr="00210AC6">
              <w:rPr>
                <w:rFonts w:cs="Arial"/>
                <w:b/>
                <w:bCs/>
                <w:szCs w:val="16"/>
              </w:rPr>
              <w:t xml:space="preserve">Performance (%) </w:t>
            </w:r>
          </w:p>
        </w:tc>
        <w:tc>
          <w:tcPr>
            <w:tcW w:w="832" w:type="pct"/>
          </w:tcPr>
          <w:p w14:paraId="5D25D35A" w14:textId="77777777" w:rsidR="00BE0EEF" w:rsidRPr="00210AC6" w:rsidRDefault="00BE0EEF" w:rsidP="002C333C">
            <w:pPr>
              <w:rPr>
                <w:rFonts w:cs="Arial"/>
                <w:b/>
                <w:bCs/>
                <w:szCs w:val="16"/>
              </w:rPr>
            </w:pPr>
            <w:r w:rsidRPr="00210AC6">
              <w:rPr>
                <w:rFonts w:cs="Arial"/>
                <w:b/>
                <w:bCs/>
                <w:szCs w:val="16"/>
              </w:rPr>
              <w:t>Full Correction of Findings of Noncompliance Identified in FFY 2020</w:t>
            </w:r>
          </w:p>
        </w:tc>
        <w:tc>
          <w:tcPr>
            <w:tcW w:w="832" w:type="pct"/>
          </w:tcPr>
          <w:p w14:paraId="0F2A19C9" w14:textId="77777777" w:rsidR="00BE0EEF" w:rsidRPr="00210AC6" w:rsidRDefault="00BE0EEF" w:rsidP="002C333C">
            <w:pPr>
              <w:rPr>
                <w:rFonts w:cs="Arial"/>
                <w:b/>
                <w:bCs/>
                <w:szCs w:val="16"/>
              </w:rPr>
            </w:pPr>
            <w:r w:rsidRPr="00210AC6">
              <w:rPr>
                <w:rFonts w:cs="Arial"/>
                <w:b/>
                <w:bCs/>
                <w:szCs w:val="16"/>
              </w:rPr>
              <w:t>Score</w:t>
            </w:r>
          </w:p>
        </w:tc>
      </w:tr>
      <w:tr w:rsidR="00AA1152" w:rsidRPr="00210AC6" w14:paraId="58EE7EBF" w14:textId="77777777" w:rsidTr="00FB3F34">
        <w:tc>
          <w:tcPr>
            <w:tcW w:w="2504" w:type="pct"/>
          </w:tcPr>
          <w:p w14:paraId="79E3B338" w14:textId="77777777" w:rsidR="00AA1152" w:rsidRPr="00210AC6" w:rsidRDefault="00AA1152" w:rsidP="00AA1152">
            <w:pPr>
              <w:rPr>
                <w:rFonts w:cs="Arial"/>
                <w:b/>
                <w:bCs/>
                <w:szCs w:val="16"/>
              </w:rPr>
            </w:pPr>
            <w:r w:rsidRPr="00210AC6">
              <w:rPr>
                <w:rFonts w:cs="Arial"/>
                <w:b/>
                <w:bCs/>
                <w:szCs w:val="16"/>
              </w:rPr>
              <w:t>Indicator 4B: Significant discrepancy, by race and ethnicity, in the rate of suspension and expulsion, and policies, procedures or practices that contribute to the significant discrepancy and do not comply with specified requirements.</w:t>
            </w:r>
          </w:p>
        </w:tc>
        <w:tc>
          <w:tcPr>
            <w:tcW w:w="832" w:type="pct"/>
          </w:tcPr>
          <w:p w14:paraId="2F5F53B8" w14:textId="72EE73B0" w:rsidR="00AA1152" w:rsidRPr="00210AC6" w:rsidRDefault="00AA1152" w:rsidP="00AA1152">
            <w:pPr>
              <w:rPr>
                <w:rFonts w:cs="Arial"/>
                <w:szCs w:val="16"/>
              </w:rPr>
            </w:pPr>
            <w:r w:rsidRPr="00210AC6">
              <w:rPr>
                <w:rFonts w:cs="Arial"/>
                <w:szCs w:val="16"/>
              </w:rPr>
              <w:t>NVR</w:t>
            </w:r>
          </w:p>
        </w:tc>
        <w:tc>
          <w:tcPr>
            <w:tcW w:w="832" w:type="pct"/>
          </w:tcPr>
          <w:p w14:paraId="771B94BB" w14:textId="4E9D5A8F" w:rsidR="00AA1152" w:rsidRPr="00210AC6" w:rsidRDefault="00AA1152" w:rsidP="00AA1152">
            <w:pPr>
              <w:rPr>
                <w:rFonts w:cs="Arial"/>
                <w:szCs w:val="16"/>
              </w:rPr>
            </w:pPr>
            <w:r w:rsidRPr="00210AC6">
              <w:rPr>
                <w:rFonts w:cs="Arial"/>
                <w:szCs w:val="16"/>
              </w:rPr>
              <w:t>N/A</w:t>
            </w:r>
          </w:p>
        </w:tc>
        <w:tc>
          <w:tcPr>
            <w:tcW w:w="832" w:type="pct"/>
          </w:tcPr>
          <w:p w14:paraId="7825B06F" w14:textId="05A81092" w:rsidR="00AA1152" w:rsidRPr="00210AC6" w:rsidRDefault="00AA1152" w:rsidP="00AA1152">
            <w:pPr>
              <w:rPr>
                <w:rFonts w:cs="Arial"/>
                <w:szCs w:val="16"/>
              </w:rPr>
            </w:pPr>
            <w:r w:rsidRPr="00210AC6">
              <w:rPr>
                <w:rFonts w:cs="Arial"/>
                <w:szCs w:val="16"/>
              </w:rPr>
              <w:t>0</w:t>
            </w:r>
          </w:p>
        </w:tc>
      </w:tr>
      <w:tr w:rsidR="00AA1152" w:rsidRPr="00210AC6" w14:paraId="21C2980E" w14:textId="77777777" w:rsidTr="00FB3F34">
        <w:tc>
          <w:tcPr>
            <w:tcW w:w="2504" w:type="pct"/>
          </w:tcPr>
          <w:p w14:paraId="508138EE" w14:textId="77777777" w:rsidR="00AA1152" w:rsidRPr="00210AC6" w:rsidRDefault="00AA1152" w:rsidP="00AA1152">
            <w:pPr>
              <w:rPr>
                <w:rFonts w:cs="Arial"/>
                <w:b/>
                <w:bCs/>
                <w:szCs w:val="16"/>
              </w:rPr>
            </w:pPr>
            <w:r w:rsidRPr="00210AC6">
              <w:rPr>
                <w:rFonts w:cs="Arial"/>
                <w:b/>
                <w:bCs/>
                <w:szCs w:val="16"/>
              </w:rPr>
              <w:t>Indicator 9: Disproportionate representation of racial and ethnic groups in special education and related services due to inappropriate identification.</w:t>
            </w:r>
          </w:p>
        </w:tc>
        <w:tc>
          <w:tcPr>
            <w:tcW w:w="832" w:type="pct"/>
          </w:tcPr>
          <w:p w14:paraId="0871F09C" w14:textId="625E28D3" w:rsidR="00AA1152" w:rsidRPr="00210AC6" w:rsidRDefault="00AA1152" w:rsidP="00AA1152">
            <w:pPr>
              <w:rPr>
                <w:rFonts w:cs="Arial"/>
                <w:szCs w:val="16"/>
              </w:rPr>
            </w:pPr>
            <w:r w:rsidRPr="00210AC6">
              <w:rPr>
                <w:rFonts w:cs="Arial"/>
                <w:szCs w:val="16"/>
              </w:rPr>
              <w:t>0.00%</w:t>
            </w:r>
          </w:p>
        </w:tc>
        <w:tc>
          <w:tcPr>
            <w:tcW w:w="832" w:type="pct"/>
          </w:tcPr>
          <w:p w14:paraId="1628449A" w14:textId="0D758D3E" w:rsidR="00AA1152" w:rsidRPr="00210AC6" w:rsidRDefault="00AA1152" w:rsidP="00AA1152">
            <w:pPr>
              <w:rPr>
                <w:rFonts w:cs="Arial"/>
                <w:szCs w:val="16"/>
              </w:rPr>
            </w:pPr>
            <w:r w:rsidRPr="00210AC6">
              <w:rPr>
                <w:rFonts w:cs="Arial"/>
                <w:szCs w:val="16"/>
              </w:rPr>
              <w:t>N/A</w:t>
            </w:r>
          </w:p>
        </w:tc>
        <w:tc>
          <w:tcPr>
            <w:tcW w:w="832" w:type="pct"/>
          </w:tcPr>
          <w:p w14:paraId="21DC76B4" w14:textId="71B82A2F" w:rsidR="00AA1152" w:rsidRPr="00210AC6" w:rsidRDefault="00AA1152" w:rsidP="00AA1152">
            <w:pPr>
              <w:rPr>
                <w:rFonts w:cs="Arial"/>
                <w:szCs w:val="16"/>
              </w:rPr>
            </w:pPr>
            <w:r w:rsidRPr="00210AC6">
              <w:rPr>
                <w:rFonts w:cs="Arial"/>
                <w:szCs w:val="16"/>
              </w:rPr>
              <w:t>2</w:t>
            </w:r>
          </w:p>
        </w:tc>
      </w:tr>
      <w:tr w:rsidR="00AA1152" w:rsidRPr="00210AC6" w14:paraId="03A38C11" w14:textId="77777777" w:rsidTr="00FB3F34">
        <w:tc>
          <w:tcPr>
            <w:tcW w:w="2504" w:type="pct"/>
          </w:tcPr>
          <w:p w14:paraId="4150218F" w14:textId="77777777" w:rsidR="00AA1152" w:rsidRPr="00210AC6" w:rsidRDefault="00AA1152" w:rsidP="00AA1152">
            <w:pPr>
              <w:rPr>
                <w:rFonts w:cs="Arial"/>
                <w:b/>
                <w:bCs/>
                <w:szCs w:val="16"/>
              </w:rPr>
            </w:pPr>
            <w:r w:rsidRPr="00210AC6">
              <w:rPr>
                <w:rFonts w:cs="Arial"/>
                <w:b/>
                <w:bCs/>
                <w:szCs w:val="16"/>
              </w:rPr>
              <w:t>Indicator 10: Disproportionate representation of racial and ethnic groups in specific disability categories due to inappropriate identification.</w:t>
            </w:r>
          </w:p>
        </w:tc>
        <w:tc>
          <w:tcPr>
            <w:tcW w:w="832" w:type="pct"/>
          </w:tcPr>
          <w:p w14:paraId="3A2447F0" w14:textId="2F7DA60E" w:rsidR="00AA1152" w:rsidRPr="00210AC6" w:rsidRDefault="00AA1152" w:rsidP="00AA1152">
            <w:pPr>
              <w:rPr>
                <w:rFonts w:cs="Arial"/>
                <w:szCs w:val="16"/>
              </w:rPr>
            </w:pPr>
            <w:r w:rsidRPr="00210AC6">
              <w:rPr>
                <w:rFonts w:cs="Arial"/>
                <w:szCs w:val="16"/>
              </w:rPr>
              <w:t>0.00%</w:t>
            </w:r>
          </w:p>
        </w:tc>
        <w:tc>
          <w:tcPr>
            <w:tcW w:w="832" w:type="pct"/>
          </w:tcPr>
          <w:p w14:paraId="1CE885A0" w14:textId="000A00A6" w:rsidR="00AA1152" w:rsidRPr="00210AC6" w:rsidRDefault="00AA1152" w:rsidP="00AA1152">
            <w:pPr>
              <w:rPr>
                <w:rFonts w:cs="Arial"/>
                <w:szCs w:val="16"/>
              </w:rPr>
            </w:pPr>
            <w:r w:rsidRPr="00210AC6">
              <w:rPr>
                <w:rFonts w:cs="Arial"/>
                <w:szCs w:val="16"/>
              </w:rPr>
              <w:t>N/A</w:t>
            </w:r>
          </w:p>
        </w:tc>
        <w:tc>
          <w:tcPr>
            <w:tcW w:w="832" w:type="pct"/>
          </w:tcPr>
          <w:p w14:paraId="1F5B10E3" w14:textId="1AC79BCD" w:rsidR="00AA1152" w:rsidRPr="00210AC6" w:rsidRDefault="00AA1152" w:rsidP="00AA1152">
            <w:pPr>
              <w:rPr>
                <w:rFonts w:cs="Arial"/>
                <w:szCs w:val="16"/>
              </w:rPr>
            </w:pPr>
            <w:r w:rsidRPr="00210AC6">
              <w:rPr>
                <w:rFonts w:cs="Arial"/>
                <w:szCs w:val="16"/>
              </w:rPr>
              <w:t>2</w:t>
            </w:r>
          </w:p>
        </w:tc>
      </w:tr>
      <w:tr w:rsidR="00AA1152" w:rsidRPr="00210AC6" w14:paraId="785C2AF8" w14:textId="77777777" w:rsidTr="00FB3F34">
        <w:tc>
          <w:tcPr>
            <w:tcW w:w="2504" w:type="pct"/>
          </w:tcPr>
          <w:p w14:paraId="3441131C" w14:textId="77777777" w:rsidR="00AA1152" w:rsidRPr="00210AC6" w:rsidRDefault="00AA1152" w:rsidP="00AA1152">
            <w:pPr>
              <w:rPr>
                <w:rFonts w:cs="Arial"/>
                <w:b/>
                <w:bCs/>
                <w:szCs w:val="16"/>
              </w:rPr>
            </w:pPr>
            <w:r w:rsidRPr="00210AC6">
              <w:rPr>
                <w:rFonts w:cs="Arial"/>
                <w:b/>
                <w:bCs/>
                <w:szCs w:val="16"/>
              </w:rPr>
              <w:t>Indicator 11: Timely initial evaluation</w:t>
            </w:r>
          </w:p>
        </w:tc>
        <w:tc>
          <w:tcPr>
            <w:tcW w:w="832" w:type="pct"/>
          </w:tcPr>
          <w:p w14:paraId="3F86F615" w14:textId="0AA0A53C" w:rsidR="00AA1152" w:rsidRPr="00210AC6" w:rsidRDefault="00AA1152" w:rsidP="00AA1152">
            <w:pPr>
              <w:rPr>
                <w:rFonts w:cs="Arial"/>
                <w:szCs w:val="16"/>
              </w:rPr>
            </w:pPr>
            <w:r w:rsidRPr="00210AC6">
              <w:rPr>
                <w:rFonts w:cs="Arial"/>
                <w:szCs w:val="16"/>
              </w:rPr>
              <w:t>98.67%</w:t>
            </w:r>
          </w:p>
        </w:tc>
        <w:tc>
          <w:tcPr>
            <w:tcW w:w="832" w:type="pct"/>
          </w:tcPr>
          <w:p w14:paraId="379B6676" w14:textId="76488CD7" w:rsidR="00AA1152" w:rsidRPr="00210AC6" w:rsidRDefault="00AA1152" w:rsidP="00AA1152">
            <w:pPr>
              <w:rPr>
                <w:rFonts w:cs="Arial"/>
                <w:szCs w:val="16"/>
              </w:rPr>
            </w:pPr>
            <w:r w:rsidRPr="00210AC6">
              <w:rPr>
                <w:rFonts w:cs="Arial"/>
                <w:szCs w:val="16"/>
              </w:rPr>
              <w:t>NO</w:t>
            </w:r>
          </w:p>
        </w:tc>
        <w:tc>
          <w:tcPr>
            <w:tcW w:w="832" w:type="pct"/>
          </w:tcPr>
          <w:p w14:paraId="5FB686BF" w14:textId="58500CD0" w:rsidR="00AA1152" w:rsidRPr="00210AC6" w:rsidRDefault="00AA1152" w:rsidP="00AA1152">
            <w:pPr>
              <w:rPr>
                <w:rFonts w:cs="Arial"/>
                <w:szCs w:val="16"/>
              </w:rPr>
            </w:pPr>
            <w:r w:rsidRPr="00210AC6">
              <w:rPr>
                <w:rFonts w:cs="Arial"/>
                <w:szCs w:val="16"/>
              </w:rPr>
              <w:t>2</w:t>
            </w:r>
          </w:p>
        </w:tc>
      </w:tr>
      <w:tr w:rsidR="00AA1152" w:rsidRPr="00210AC6" w14:paraId="02526753" w14:textId="77777777" w:rsidTr="00FB3F34">
        <w:tc>
          <w:tcPr>
            <w:tcW w:w="2504" w:type="pct"/>
          </w:tcPr>
          <w:p w14:paraId="02E96748" w14:textId="77777777" w:rsidR="00AA1152" w:rsidRPr="00210AC6" w:rsidRDefault="00AA1152" w:rsidP="00AA1152">
            <w:pPr>
              <w:rPr>
                <w:rFonts w:cs="Arial"/>
                <w:b/>
                <w:bCs/>
                <w:szCs w:val="16"/>
              </w:rPr>
            </w:pPr>
            <w:r w:rsidRPr="00210AC6">
              <w:rPr>
                <w:rFonts w:cs="Arial"/>
                <w:b/>
                <w:bCs/>
                <w:szCs w:val="16"/>
              </w:rPr>
              <w:t>Indicator 12: IEP developed and implemented by third birthday</w:t>
            </w:r>
          </w:p>
        </w:tc>
        <w:tc>
          <w:tcPr>
            <w:tcW w:w="832" w:type="pct"/>
          </w:tcPr>
          <w:p w14:paraId="4F2BD9F2" w14:textId="398FC4CF" w:rsidR="00AA1152" w:rsidRPr="00210AC6" w:rsidRDefault="00AA1152" w:rsidP="00AA1152">
            <w:pPr>
              <w:rPr>
                <w:rFonts w:cs="Arial"/>
                <w:szCs w:val="16"/>
              </w:rPr>
            </w:pPr>
            <w:r w:rsidRPr="00210AC6">
              <w:rPr>
                <w:rFonts w:cs="Arial"/>
                <w:szCs w:val="16"/>
              </w:rPr>
              <w:t>97.57%</w:t>
            </w:r>
          </w:p>
        </w:tc>
        <w:tc>
          <w:tcPr>
            <w:tcW w:w="832" w:type="pct"/>
          </w:tcPr>
          <w:p w14:paraId="6054F9DF" w14:textId="6A2554B4" w:rsidR="00AA1152" w:rsidRPr="00210AC6" w:rsidRDefault="00AA1152" w:rsidP="00AA1152">
            <w:pPr>
              <w:rPr>
                <w:rFonts w:cs="Arial"/>
                <w:szCs w:val="16"/>
              </w:rPr>
            </w:pPr>
            <w:r w:rsidRPr="00210AC6">
              <w:rPr>
                <w:rFonts w:cs="Arial"/>
                <w:szCs w:val="16"/>
              </w:rPr>
              <w:t>YES</w:t>
            </w:r>
          </w:p>
        </w:tc>
        <w:tc>
          <w:tcPr>
            <w:tcW w:w="832" w:type="pct"/>
          </w:tcPr>
          <w:p w14:paraId="3702D281" w14:textId="352F6EC2" w:rsidR="00AA1152" w:rsidRPr="00210AC6" w:rsidRDefault="00AA1152" w:rsidP="00AA1152">
            <w:pPr>
              <w:rPr>
                <w:rFonts w:cs="Arial"/>
                <w:szCs w:val="16"/>
              </w:rPr>
            </w:pPr>
            <w:r w:rsidRPr="00210AC6">
              <w:rPr>
                <w:rFonts w:cs="Arial"/>
                <w:szCs w:val="16"/>
              </w:rPr>
              <w:t>2</w:t>
            </w:r>
          </w:p>
        </w:tc>
      </w:tr>
      <w:tr w:rsidR="00AA1152" w:rsidRPr="00210AC6" w14:paraId="74763DC8" w14:textId="77777777" w:rsidTr="00FB3F34">
        <w:tc>
          <w:tcPr>
            <w:tcW w:w="2504" w:type="pct"/>
          </w:tcPr>
          <w:p w14:paraId="2E528111" w14:textId="77777777" w:rsidR="00AA1152" w:rsidRPr="00210AC6" w:rsidRDefault="00AA1152" w:rsidP="00AA1152">
            <w:pPr>
              <w:rPr>
                <w:rFonts w:cs="Arial"/>
                <w:b/>
                <w:bCs/>
                <w:szCs w:val="16"/>
              </w:rPr>
            </w:pPr>
            <w:r w:rsidRPr="00210AC6">
              <w:rPr>
                <w:rFonts w:cs="Arial"/>
                <w:b/>
                <w:bCs/>
                <w:szCs w:val="16"/>
              </w:rPr>
              <w:t>Indicator 13: Secondary transition</w:t>
            </w:r>
          </w:p>
        </w:tc>
        <w:tc>
          <w:tcPr>
            <w:tcW w:w="832" w:type="pct"/>
          </w:tcPr>
          <w:p w14:paraId="2E2E3F92" w14:textId="0CE14D00" w:rsidR="00AA1152" w:rsidRPr="00210AC6" w:rsidRDefault="00AA1152" w:rsidP="00AA1152">
            <w:pPr>
              <w:rPr>
                <w:rFonts w:cs="Arial"/>
                <w:szCs w:val="16"/>
              </w:rPr>
            </w:pPr>
            <w:r w:rsidRPr="00210AC6">
              <w:rPr>
                <w:rFonts w:cs="Arial"/>
                <w:szCs w:val="16"/>
              </w:rPr>
              <w:t>99.02%</w:t>
            </w:r>
          </w:p>
        </w:tc>
        <w:tc>
          <w:tcPr>
            <w:tcW w:w="832" w:type="pct"/>
          </w:tcPr>
          <w:p w14:paraId="3F499F14" w14:textId="09C97ADF" w:rsidR="00AA1152" w:rsidRPr="00210AC6" w:rsidRDefault="00AA1152" w:rsidP="00AA1152">
            <w:pPr>
              <w:rPr>
                <w:rFonts w:cs="Arial"/>
                <w:szCs w:val="16"/>
              </w:rPr>
            </w:pPr>
            <w:r w:rsidRPr="00210AC6">
              <w:rPr>
                <w:rFonts w:cs="Arial"/>
                <w:szCs w:val="16"/>
              </w:rPr>
              <w:t>NO</w:t>
            </w:r>
          </w:p>
        </w:tc>
        <w:tc>
          <w:tcPr>
            <w:tcW w:w="832" w:type="pct"/>
          </w:tcPr>
          <w:p w14:paraId="06689058" w14:textId="117B6780" w:rsidR="00AA1152" w:rsidRPr="00210AC6" w:rsidRDefault="00AA1152" w:rsidP="00AA1152">
            <w:pPr>
              <w:rPr>
                <w:rFonts w:cs="Arial"/>
                <w:szCs w:val="16"/>
              </w:rPr>
            </w:pPr>
            <w:r w:rsidRPr="00210AC6">
              <w:rPr>
                <w:rFonts w:cs="Arial"/>
                <w:szCs w:val="16"/>
              </w:rPr>
              <w:t>2</w:t>
            </w:r>
          </w:p>
        </w:tc>
      </w:tr>
      <w:tr w:rsidR="00AA1152" w:rsidRPr="00210AC6" w14:paraId="5B73C8AC" w14:textId="77777777" w:rsidTr="00AA1152">
        <w:tc>
          <w:tcPr>
            <w:tcW w:w="2504" w:type="pct"/>
          </w:tcPr>
          <w:p w14:paraId="772D1C3C" w14:textId="77777777" w:rsidR="00AA1152" w:rsidRPr="00210AC6" w:rsidRDefault="00AA1152" w:rsidP="00AA1152">
            <w:pPr>
              <w:rPr>
                <w:rFonts w:cs="Arial"/>
                <w:b/>
                <w:bCs/>
                <w:szCs w:val="16"/>
              </w:rPr>
            </w:pPr>
            <w:r w:rsidRPr="00210AC6">
              <w:rPr>
                <w:rFonts w:cs="Arial"/>
                <w:b/>
                <w:bCs/>
                <w:szCs w:val="16"/>
              </w:rPr>
              <w:t>Timely and Accurate State-Reported Data</w:t>
            </w:r>
          </w:p>
        </w:tc>
        <w:tc>
          <w:tcPr>
            <w:tcW w:w="832" w:type="pct"/>
          </w:tcPr>
          <w:p w14:paraId="18A1304C" w14:textId="765F1D9B" w:rsidR="00AA1152" w:rsidRPr="00210AC6" w:rsidRDefault="00AA1152" w:rsidP="00AA1152">
            <w:pPr>
              <w:rPr>
                <w:rFonts w:cs="Arial"/>
                <w:szCs w:val="16"/>
              </w:rPr>
            </w:pPr>
            <w:r w:rsidRPr="00210AC6">
              <w:rPr>
                <w:rFonts w:cs="Arial"/>
                <w:szCs w:val="16"/>
              </w:rPr>
              <w:t>95.70%</w:t>
            </w:r>
          </w:p>
        </w:tc>
        <w:tc>
          <w:tcPr>
            <w:tcW w:w="832" w:type="pct"/>
            <w:shd w:val="clear" w:color="auto" w:fill="D9D9D9" w:themeFill="background1" w:themeFillShade="D9"/>
          </w:tcPr>
          <w:p w14:paraId="7AC688E1" w14:textId="77777777" w:rsidR="00AA1152" w:rsidRPr="00210AC6" w:rsidRDefault="00AA1152" w:rsidP="00AA1152">
            <w:pPr>
              <w:rPr>
                <w:rFonts w:cs="Arial"/>
                <w:szCs w:val="16"/>
              </w:rPr>
            </w:pPr>
          </w:p>
        </w:tc>
        <w:tc>
          <w:tcPr>
            <w:tcW w:w="832" w:type="pct"/>
          </w:tcPr>
          <w:p w14:paraId="2D7E2590" w14:textId="5F40EEE6" w:rsidR="00AA1152" w:rsidRPr="00210AC6" w:rsidRDefault="00AA1152" w:rsidP="00AA1152">
            <w:pPr>
              <w:rPr>
                <w:rFonts w:cs="Arial"/>
                <w:szCs w:val="16"/>
              </w:rPr>
            </w:pPr>
            <w:r w:rsidRPr="00210AC6">
              <w:rPr>
                <w:rFonts w:cs="Arial"/>
                <w:szCs w:val="16"/>
              </w:rPr>
              <w:t>2</w:t>
            </w:r>
          </w:p>
        </w:tc>
      </w:tr>
      <w:tr w:rsidR="00AA1152" w:rsidRPr="00210AC6" w14:paraId="5B2DC82D" w14:textId="77777777" w:rsidTr="00AA1152">
        <w:tc>
          <w:tcPr>
            <w:tcW w:w="2504" w:type="pct"/>
          </w:tcPr>
          <w:p w14:paraId="03E653A4" w14:textId="77777777" w:rsidR="00AA1152" w:rsidRPr="00210AC6" w:rsidRDefault="00AA1152" w:rsidP="00AA1152">
            <w:pPr>
              <w:rPr>
                <w:rFonts w:cs="Arial"/>
                <w:b/>
                <w:bCs/>
                <w:szCs w:val="16"/>
              </w:rPr>
            </w:pPr>
            <w:r w:rsidRPr="00210AC6">
              <w:rPr>
                <w:rFonts w:cs="Arial"/>
                <w:b/>
                <w:bCs/>
                <w:szCs w:val="16"/>
              </w:rPr>
              <w:t>Timely State Complaint Decisions</w:t>
            </w:r>
          </w:p>
        </w:tc>
        <w:tc>
          <w:tcPr>
            <w:tcW w:w="832" w:type="pct"/>
          </w:tcPr>
          <w:p w14:paraId="3623764C" w14:textId="2150291E" w:rsidR="00AA1152" w:rsidRPr="00210AC6" w:rsidRDefault="00AA1152" w:rsidP="00AA1152">
            <w:pPr>
              <w:rPr>
                <w:rFonts w:cs="Arial"/>
                <w:szCs w:val="16"/>
              </w:rPr>
            </w:pPr>
            <w:r w:rsidRPr="00210AC6">
              <w:rPr>
                <w:rFonts w:cs="Arial"/>
                <w:szCs w:val="16"/>
              </w:rPr>
              <w:t>100.00%</w:t>
            </w:r>
          </w:p>
        </w:tc>
        <w:tc>
          <w:tcPr>
            <w:tcW w:w="832" w:type="pct"/>
            <w:shd w:val="clear" w:color="auto" w:fill="D9D9D9" w:themeFill="background1" w:themeFillShade="D9"/>
          </w:tcPr>
          <w:p w14:paraId="097E1289" w14:textId="77777777" w:rsidR="00AA1152" w:rsidRPr="00210AC6" w:rsidRDefault="00AA1152" w:rsidP="00AA1152">
            <w:pPr>
              <w:rPr>
                <w:rFonts w:cs="Arial"/>
                <w:szCs w:val="16"/>
              </w:rPr>
            </w:pPr>
          </w:p>
        </w:tc>
        <w:tc>
          <w:tcPr>
            <w:tcW w:w="832" w:type="pct"/>
          </w:tcPr>
          <w:p w14:paraId="4499CBD7" w14:textId="4E7EAE4B" w:rsidR="00AA1152" w:rsidRPr="00210AC6" w:rsidRDefault="00AA1152" w:rsidP="00AA1152">
            <w:pPr>
              <w:rPr>
                <w:rFonts w:cs="Arial"/>
                <w:szCs w:val="16"/>
              </w:rPr>
            </w:pPr>
            <w:r w:rsidRPr="00210AC6">
              <w:rPr>
                <w:rFonts w:cs="Arial"/>
                <w:szCs w:val="16"/>
              </w:rPr>
              <w:t>2</w:t>
            </w:r>
          </w:p>
        </w:tc>
      </w:tr>
      <w:tr w:rsidR="00AA1152" w:rsidRPr="00210AC6" w14:paraId="4BFA68EF" w14:textId="77777777" w:rsidTr="00AA1152">
        <w:tc>
          <w:tcPr>
            <w:tcW w:w="2504" w:type="pct"/>
          </w:tcPr>
          <w:p w14:paraId="066554B9" w14:textId="77777777" w:rsidR="00AA1152" w:rsidRPr="00210AC6" w:rsidRDefault="00AA1152" w:rsidP="00AA1152">
            <w:pPr>
              <w:rPr>
                <w:rFonts w:cs="Arial"/>
                <w:b/>
                <w:bCs/>
                <w:szCs w:val="16"/>
              </w:rPr>
            </w:pPr>
            <w:r w:rsidRPr="00210AC6">
              <w:rPr>
                <w:rFonts w:cs="Arial"/>
                <w:b/>
                <w:bCs/>
                <w:szCs w:val="16"/>
              </w:rPr>
              <w:t>Timely Due Process Hearing Decisions</w:t>
            </w:r>
          </w:p>
        </w:tc>
        <w:tc>
          <w:tcPr>
            <w:tcW w:w="832" w:type="pct"/>
          </w:tcPr>
          <w:p w14:paraId="786FDFAC" w14:textId="6F373ECA" w:rsidR="00AA1152" w:rsidRPr="00210AC6" w:rsidRDefault="00AA1152" w:rsidP="00AA1152">
            <w:pPr>
              <w:rPr>
                <w:rFonts w:cs="Arial"/>
                <w:szCs w:val="16"/>
              </w:rPr>
            </w:pPr>
            <w:r w:rsidRPr="00210AC6">
              <w:rPr>
                <w:rFonts w:cs="Arial"/>
                <w:szCs w:val="16"/>
              </w:rPr>
              <w:t>100.00%</w:t>
            </w:r>
          </w:p>
        </w:tc>
        <w:tc>
          <w:tcPr>
            <w:tcW w:w="832" w:type="pct"/>
            <w:shd w:val="clear" w:color="auto" w:fill="D9D9D9" w:themeFill="background1" w:themeFillShade="D9"/>
          </w:tcPr>
          <w:p w14:paraId="76E4B89A" w14:textId="77777777" w:rsidR="00AA1152" w:rsidRPr="00210AC6" w:rsidRDefault="00AA1152" w:rsidP="00AA1152">
            <w:pPr>
              <w:rPr>
                <w:rFonts w:cs="Arial"/>
                <w:szCs w:val="16"/>
              </w:rPr>
            </w:pPr>
          </w:p>
        </w:tc>
        <w:tc>
          <w:tcPr>
            <w:tcW w:w="832" w:type="pct"/>
          </w:tcPr>
          <w:p w14:paraId="3F8AD42C" w14:textId="7F0D6356" w:rsidR="00AA1152" w:rsidRPr="00210AC6" w:rsidRDefault="00AA1152" w:rsidP="00AA1152">
            <w:pPr>
              <w:rPr>
                <w:rFonts w:cs="Arial"/>
                <w:szCs w:val="16"/>
              </w:rPr>
            </w:pPr>
            <w:r w:rsidRPr="00210AC6">
              <w:rPr>
                <w:rFonts w:cs="Arial"/>
                <w:szCs w:val="16"/>
              </w:rPr>
              <w:t>2</w:t>
            </w:r>
          </w:p>
        </w:tc>
      </w:tr>
      <w:tr w:rsidR="00AA1152" w:rsidRPr="00210AC6" w14:paraId="26770970" w14:textId="77777777" w:rsidTr="00AA1152">
        <w:tc>
          <w:tcPr>
            <w:tcW w:w="2504" w:type="pct"/>
          </w:tcPr>
          <w:p w14:paraId="60988791" w14:textId="77777777" w:rsidR="00AA1152" w:rsidRPr="00210AC6" w:rsidRDefault="00AA1152" w:rsidP="00AA1152">
            <w:pPr>
              <w:rPr>
                <w:rFonts w:cs="Arial"/>
                <w:b/>
                <w:bCs/>
                <w:szCs w:val="16"/>
              </w:rPr>
            </w:pPr>
            <w:r w:rsidRPr="00210AC6">
              <w:rPr>
                <w:rFonts w:cs="Arial"/>
                <w:b/>
                <w:bCs/>
                <w:szCs w:val="16"/>
              </w:rPr>
              <w:t>Longstanding Noncompliance</w:t>
            </w:r>
          </w:p>
        </w:tc>
        <w:tc>
          <w:tcPr>
            <w:tcW w:w="832" w:type="pct"/>
            <w:shd w:val="clear" w:color="auto" w:fill="D9D9D9" w:themeFill="background1" w:themeFillShade="D9"/>
          </w:tcPr>
          <w:p w14:paraId="5695B159" w14:textId="77777777" w:rsidR="00AA1152" w:rsidRPr="00210AC6" w:rsidRDefault="00AA1152" w:rsidP="00AA1152">
            <w:pPr>
              <w:rPr>
                <w:rFonts w:cs="Arial"/>
                <w:szCs w:val="16"/>
              </w:rPr>
            </w:pPr>
          </w:p>
        </w:tc>
        <w:tc>
          <w:tcPr>
            <w:tcW w:w="832" w:type="pct"/>
            <w:shd w:val="clear" w:color="auto" w:fill="D9D9D9" w:themeFill="background1" w:themeFillShade="D9"/>
          </w:tcPr>
          <w:p w14:paraId="47C17DD8" w14:textId="77777777" w:rsidR="00AA1152" w:rsidRPr="00210AC6" w:rsidRDefault="00AA1152" w:rsidP="00AA1152">
            <w:pPr>
              <w:rPr>
                <w:rFonts w:cs="Arial"/>
                <w:szCs w:val="16"/>
              </w:rPr>
            </w:pPr>
          </w:p>
        </w:tc>
        <w:tc>
          <w:tcPr>
            <w:tcW w:w="832" w:type="pct"/>
          </w:tcPr>
          <w:p w14:paraId="6505B17E" w14:textId="4908393C" w:rsidR="00AA1152" w:rsidRPr="00210AC6" w:rsidRDefault="00AA1152" w:rsidP="00AA1152">
            <w:pPr>
              <w:rPr>
                <w:rFonts w:cs="Arial"/>
                <w:szCs w:val="16"/>
              </w:rPr>
            </w:pPr>
            <w:r w:rsidRPr="00210AC6">
              <w:rPr>
                <w:rFonts w:cs="Arial"/>
                <w:szCs w:val="16"/>
              </w:rPr>
              <w:t>1</w:t>
            </w:r>
          </w:p>
        </w:tc>
      </w:tr>
      <w:tr w:rsidR="00210AC6" w:rsidRPr="00210AC6" w14:paraId="37FD1A53" w14:textId="77777777" w:rsidTr="00AA1152">
        <w:tc>
          <w:tcPr>
            <w:tcW w:w="2504" w:type="pct"/>
          </w:tcPr>
          <w:p w14:paraId="3FB1DF49" w14:textId="77777777" w:rsidR="00AA1152" w:rsidRPr="00210AC6" w:rsidRDefault="00AA1152" w:rsidP="00FB3CF2">
            <w:pPr>
              <w:ind w:left="720"/>
              <w:rPr>
                <w:rFonts w:cs="Arial"/>
                <w:b/>
                <w:bCs/>
                <w:szCs w:val="16"/>
              </w:rPr>
            </w:pPr>
            <w:r w:rsidRPr="00210AC6">
              <w:rPr>
                <w:rFonts w:cs="Arial"/>
                <w:b/>
                <w:bCs/>
                <w:szCs w:val="16"/>
              </w:rPr>
              <w:t>Specific Conditions</w:t>
            </w:r>
          </w:p>
        </w:tc>
        <w:tc>
          <w:tcPr>
            <w:tcW w:w="832" w:type="pct"/>
          </w:tcPr>
          <w:p w14:paraId="25CFC5F1" w14:textId="52880491"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2EE980E6" w14:textId="77777777" w:rsidR="00AA1152" w:rsidRPr="00210AC6" w:rsidRDefault="00AA1152" w:rsidP="00AA1152">
            <w:pPr>
              <w:rPr>
                <w:rFonts w:cs="Arial"/>
                <w:szCs w:val="16"/>
              </w:rPr>
            </w:pPr>
          </w:p>
        </w:tc>
        <w:tc>
          <w:tcPr>
            <w:tcW w:w="832" w:type="pct"/>
            <w:shd w:val="clear" w:color="auto" w:fill="D9D9D9" w:themeFill="background1" w:themeFillShade="D9"/>
          </w:tcPr>
          <w:p w14:paraId="4F02C2EF" w14:textId="77777777" w:rsidR="00AA1152" w:rsidRPr="00210AC6" w:rsidRDefault="00AA1152" w:rsidP="00AA1152">
            <w:pPr>
              <w:rPr>
                <w:rFonts w:cs="Arial"/>
                <w:szCs w:val="16"/>
              </w:rPr>
            </w:pPr>
          </w:p>
        </w:tc>
      </w:tr>
      <w:tr w:rsidR="00AA1152" w:rsidRPr="00210AC6" w14:paraId="280FAD4D" w14:textId="77777777" w:rsidTr="00AA1152">
        <w:tc>
          <w:tcPr>
            <w:tcW w:w="2504" w:type="pct"/>
          </w:tcPr>
          <w:p w14:paraId="03E7B148" w14:textId="77777777" w:rsidR="00AA1152" w:rsidRPr="00210AC6" w:rsidRDefault="00AA1152" w:rsidP="00FB3CF2">
            <w:pPr>
              <w:ind w:left="720"/>
              <w:rPr>
                <w:rFonts w:cs="Arial"/>
                <w:b/>
                <w:bCs/>
                <w:szCs w:val="16"/>
              </w:rPr>
            </w:pPr>
            <w:r w:rsidRPr="00210AC6">
              <w:rPr>
                <w:rFonts w:cs="Arial"/>
                <w:b/>
                <w:bCs/>
                <w:szCs w:val="16"/>
              </w:rPr>
              <w:t>Uncorrected identified noncompliance</w:t>
            </w:r>
          </w:p>
        </w:tc>
        <w:tc>
          <w:tcPr>
            <w:tcW w:w="832" w:type="pct"/>
          </w:tcPr>
          <w:p w14:paraId="6A88C370" w14:textId="640AB405" w:rsidR="00AA1152" w:rsidRPr="00210AC6" w:rsidRDefault="00AA1152" w:rsidP="00AA1152">
            <w:pPr>
              <w:rPr>
                <w:rFonts w:cs="Arial"/>
                <w:szCs w:val="16"/>
              </w:rPr>
            </w:pPr>
            <w:r w:rsidRPr="00210AC6">
              <w:rPr>
                <w:rFonts w:cs="Arial"/>
                <w:szCs w:val="16"/>
              </w:rPr>
              <w:t>Yes, 2 to 4 years</w:t>
            </w:r>
          </w:p>
        </w:tc>
        <w:tc>
          <w:tcPr>
            <w:tcW w:w="832" w:type="pct"/>
            <w:shd w:val="clear" w:color="auto" w:fill="D9D9D9" w:themeFill="background1" w:themeFillShade="D9"/>
          </w:tcPr>
          <w:p w14:paraId="1BBE86F1" w14:textId="77777777" w:rsidR="00AA1152" w:rsidRPr="00210AC6" w:rsidRDefault="00AA1152" w:rsidP="00AA1152">
            <w:pPr>
              <w:rPr>
                <w:rFonts w:cs="Arial"/>
                <w:szCs w:val="16"/>
              </w:rPr>
            </w:pPr>
          </w:p>
        </w:tc>
        <w:tc>
          <w:tcPr>
            <w:tcW w:w="832" w:type="pct"/>
            <w:shd w:val="clear" w:color="auto" w:fill="D9D9D9" w:themeFill="background1" w:themeFillShade="D9"/>
          </w:tcPr>
          <w:p w14:paraId="774B8A90" w14:textId="77777777" w:rsidR="00AA1152" w:rsidRPr="00210AC6" w:rsidRDefault="00AA1152" w:rsidP="00AA1152">
            <w:pPr>
              <w:rPr>
                <w:rFonts w:cs="Arial"/>
                <w:szCs w:val="16"/>
              </w:rPr>
            </w:pPr>
          </w:p>
        </w:tc>
      </w:tr>
    </w:tbl>
    <w:p w14:paraId="72E10240" w14:textId="77777777" w:rsidR="00B42C5F" w:rsidRPr="00210AC6" w:rsidRDefault="00B42C5F" w:rsidP="00BE0EEF">
      <w:pPr>
        <w:rPr>
          <w:rFonts w:cs="Arial"/>
          <w:b/>
          <w:szCs w:val="16"/>
        </w:rPr>
      </w:pPr>
    </w:p>
    <w:p w14:paraId="329F2F2C" w14:textId="77777777" w:rsidR="006A44D8" w:rsidRDefault="006A44D8">
      <w:pPr>
        <w:spacing w:before="0" w:after="200" w:line="276" w:lineRule="auto"/>
        <w:rPr>
          <w:rFonts w:eastAsiaTheme="majorEastAsia" w:cstheme="majorBidi"/>
          <w:b/>
          <w:bCs/>
          <w:sz w:val="20"/>
          <w:szCs w:val="26"/>
        </w:rPr>
      </w:pPr>
      <w:r>
        <w:br w:type="page"/>
      </w:r>
    </w:p>
    <w:p w14:paraId="594193B2" w14:textId="16D7A99F" w:rsidR="00BE0EEF" w:rsidRDefault="00BE0EEF" w:rsidP="00BE0EEF">
      <w:pPr>
        <w:pStyle w:val="Heading2"/>
      </w:pPr>
      <w:r w:rsidRPr="003E43D9">
        <w:t>Data Rubric</w:t>
      </w:r>
    </w:p>
    <w:p w14:paraId="27E7D5D5" w14:textId="314242AE" w:rsidR="00110BB6" w:rsidRDefault="00110BB6" w:rsidP="00110BB6">
      <w:pPr>
        <w:jc w:val="center"/>
      </w:pPr>
      <w:r>
        <w:t>FFY 2021 APR</w:t>
      </w:r>
      <w:r w:rsidR="00A47134">
        <w:rPr>
          <w:rStyle w:val="FootnoteReference"/>
        </w:rPr>
        <w:footnoteReference w:id="4"/>
      </w:r>
    </w:p>
    <w:tbl>
      <w:tblPr>
        <w:tblStyle w:val="TableGrid1"/>
        <w:tblW w:w="9824" w:type="dxa"/>
        <w:tblLook w:val="04A0" w:firstRow="1" w:lastRow="0" w:firstColumn="1" w:lastColumn="0" w:noHBand="0" w:noVBand="1"/>
        <w:tblCaption w:val="BRUBCFFYINDVRSTAT"/>
      </w:tblPr>
      <w:tblGrid>
        <w:gridCol w:w="1866"/>
        <w:gridCol w:w="5260"/>
        <w:gridCol w:w="2698"/>
      </w:tblGrid>
      <w:tr w:rsidR="00FB3F34" w:rsidRPr="00210AC6" w14:paraId="1EDB9080" w14:textId="77777777" w:rsidTr="00E31D6F">
        <w:trPr>
          <w:trHeight w:val="432"/>
          <w:tblHeader/>
        </w:trPr>
        <w:tc>
          <w:tcPr>
            <w:tcW w:w="1866" w:type="dxa"/>
            <w:hideMark/>
          </w:tcPr>
          <w:p w14:paraId="7CCEA6CA" w14:textId="68305EB8" w:rsidR="00FB3F34" w:rsidRPr="00210AC6" w:rsidRDefault="00371FAA" w:rsidP="006620B0">
            <w:pPr>
              <w:spacing w:before="0" w:after="0"/>
              <w:jc w:val="center"/>
              <w:rPr>
                <w:rFonts w:eastAsia="Times New Roman" w:cs="Arial"/>
                <w:szCs w:val="16"/>
              </w:rPr>
            </w:pPr>
            <w:r>
              <w:tab/>
            </w:r>
          </w:p>
        </w:tc>
        <w:tc>
          <w:tcPr>
            <w:tcW w:w="5260" w:type="dxa"/>
          </w:tcPr>
          <w:p w14:paraId="1EE18FEA" w14:textId="2E861024" w:rsidR="00FB3F34" w:rsidRPr="00210AC6" w:rsidRDefault="00FB3F34" w:rsidP="006620B0">
            <w:pPr>
              <w:spacing w:before="0" w:after="0"/>
              <w:jc w:val="center"/>
              <w:rPr>
                <w:rFonts w:eastAsia="Times New Roman" w:cs="Arial"/>
                <w:szCs w:val="16"/>
              </w:rPr>
            </w:pPr>
            <w:r w:rsidRPr="00210AC6">
              <w:rPr>
                <w:rFonts w:eastAsia="Times New Roman" w:cs="Arial"/>
                <w:b/>
                <w:bCs/>
                <w:szCs w:val="16"/>
              </w:rPr>
              <w:t>Part B Timely and Accurate Data -- SPP/APR Data</w:t>
            </w:r>
          </w:p>
        </w:tc>
        <w:tc>
          <w:tcPr>
            <w:tcW w:w="2698" w:type="dxa"/>
          </w:tcPr>
          <w:p w14:paraId="2C283DE7" w14:textId="471B490F" w:rsidR="00FB3F34" w:rsidRPr="00210AC6" w:rsidRDefault="00FB3F34" w:rsidP="006620B0">
            <w:pPr>
              <w:spacing w:before="0" w:after="0"/>
              <w:jc w:val="center"/>
              <w:rPr>
                <w:rFonts w:eastAsia="Times New Roman" w:cs="Arial"/>
                <w:b/>
                <w:bCs/>
                <w:szCs w:val="16"/>
              </w:rPr>
            </w:pPr>
          </w:p>
        </w:tc>
      </w:tr>
      <w:tr w:rsidR="00BE0EEF" w:rsidRPr="00210AC6" w14:paraId="3A3A0C16" w14:textId="77777777" w:rsidTr="00E31D6F">
        <w:trPr>
          <w:trHeight w:val="432"/>
        </w:trPr>
        <w:tc>
          <w:tcPr>
            <w:tcW w:w="1866" w:type="dxa"/>
            <w:hideMark/>
          </w:tcPr>
          <w:p w14:paraId="68434036"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APR Indicator</w:t>
            </w:r>
          </w:p>
        </w:tc>
        <w:tc>
          <w:tcPr>
            <w:tcW w:w="5260" w:type="dxa"/>
            <w:hideMark/>
          </w:tcPr>
          <w:p w14:paraId="77033CE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hideMark/>
          </w:tcPr>
          <w:p w14:paraId="5244F363"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7135ED" w:rsidRPr="00210AC6" w14:paraId="67229BAC" w14:textId="77777777" w:rsidTr="00E31D6F">
        <w:trPr>
          <w:trHeight w:val="432"/>
        </w:trPr>
        <w:tc>
          <w:tcPr>
            <w:tcW w:w="1866" w:type="dxa"/>
            <w:hideMark/>
          </w:tcPr>
          <w:p w14:paraId="5FEE69C7"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w:t>
            </w:r>
          </w:p>
        </w:tc>
        <w:tc>
          <w:tcPr>
            <w:tcW w:w="5260" w:type="dxa"/>
            <w:hideMark/>
          </w:tcPr>
          <w:p w14:paraId="585CE390" w14:textId="7E251BE0"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7E92F735" w14:textId="595A48A0"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3EB60AC4" w14:textId="77777777" w:rsidTr="00E31D6F">
        <w:trPr>
          <w:trHeight w:val="432"/>
        </w:trPr>
        <w:tc>
          <w:tcPr>
            <w:tcW w:w="1866" w:type="dxa"/>
            <w:hideMark/>
          </w:tcPr>
          <w:p w14:paraId="35BAF33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2</w:t>
            </w:r>
          </w:p>
        </w:tc>
        <w:tc>
          <w:tcPr>
            <w:tcW w:w="5260" w:type="dxa"/>
            <w:hideMark/>
          </w:tcPr>
          <w:p w14:paraId="60118E19" w14:textId="7A45D84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1C853E5C" w14:textId="79D75765"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5CF8C38" w14:textId="77777777" w:rsidTr="00E31D6F">
        <w:trPr>
          <w:trHeight w:val="432"/>
        </w:trPr>
        <w:tc>
          <w:tcPr>
            <w:tcW w:w="1866" w:type="dxa"/>
            <w:hideMark/>
          </w:tcPr>
          <w:p w14:paraId="68C7D5A5"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3A</w:t>
            </w:r>
          </w:p>
        </w:tc>
        <w:tc>
          <w:tcPr>
            <w:tcW w:w="5260" w:type="dxa"/>
            <w:hideMark/>
          </w:tcPr>
          <w:p w14:paraId="555C0FFA" w14:textId="1DF093A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47DDDF62" w14:textId="2D82E5CE"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B04E7EB" w14:textId="77777777" w:rsidTr="00E31D6F">
        <w:trPr>
          <w:trHeight w:val="432"/>
        </w:trPr>
        <w:tc>
          <w:tcPr>
            <w:tcW w:w="1866" w:type="dxa"/>
            <w:hideMark/>
          </w:tcPr>
          <w:p w14:paraId="2642FD1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3B</w:t>
            </w:r>
          </w:p>
        </w:tc>
        <w:tc>
          <w:tcPr>
            <w:tcW w:w="5260" w:type="dxa"/>
            <w:hideMark/>
          </w:tcPr>
          <w:p w14:paraId="72F500EC" w14:textId="0E1B423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3C315133" w14:textId="2F329A69"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3E4959E" w14:textId="77777777" w:rsidTr="00E31D6F">
        <w:trPr>
          <w:trHeight w:val="432"/>
        </w:trPr>
        <w:tc>
          <w:tcPr>
            <w:tcW w:w="1866" w:type="dxa"/>
            <w:hideMark/>
          </w:tcPr>
          <w:p w14:paraId="16420CC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3C</w:t>
            </w:r>
          </w:p>
        </w:tc>
        <w:tc>
          <w:tcPr>
            <w:tcW w:w="5260" w:type="dxa"/>
            <w:hideMark/>
          </w:tcPr>
          <w:p w14:paraId="7EF0B8B4" w14:textId="2E5673AC"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73EADB1B" w14:textId="03228018"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844CEDC" w14:textId="77777777" w:rsidTr="00E31D6F">
        <w:trPr>
          <w:trHeight w:val="432"/>
        </w:trPr>
        <w:tc>
          <w:tcPr>
            <w:tcW w:w="1866" w:type="dxa"/>
            <w:hideMark/>
          </w:tcPr>
          <w:p w14:paraId="434C9D2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3D</w:t>
            </w:r>
          </w:p>
        </w:tc>
        <w:tc>
          <w:tcPr>
            <w:tcW w:w="5260" w:type="dxa"/>
            <w:hideMark/>
          </w:tcPr>
          <w:p w14:paraId="6D3590F8" w14:textId="33166A71"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3B0775F3" w14:textId="492F13B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C388C09" w14:textId="77777777" w:rsidTr="00E31D6F">
        <w:trPr>
          <w:trHeight w:val="432"/>
        </w:trPr>
        <w:tc>
          <w:tcPr>
            <w:tcW w:w="1866" w:type="dxa"/>
            <w:hideMark/>
          </w:tcPr>
          <w:p w14:paraId="72C090C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4A</w:t>
            </w:r>
          </w:p>
        </w:tc>
        <w:tc>
          <w:tcPr>
            <w:tcW w:w="5260" w:type="dxa"/>
            <w:hideMark/>
          </w:tcPr>
          <w:p w14:paraId="607E3D37" w14:textId="1D2D59CA"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65FF3F9E" w14:textId="6929A481"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89D00EB" w14:textId="77777777" w:rsidTr="00E31D6F">
        <w:trPr>
          <w:trHeight w:val="432"/>
        </w:trPr>
        <w:tc>
          <w:tcPr>
            <w:tcW w:w="1866" w:type="dxa"/>
            <w:hideMark/>
          </w:tcPr>
          <w:p w14:paraId="7060DD8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4B</w:t>
            </w:r>
          </w:p>
        </w:tc>
        <w:tc>
          <w:tcPr>
            <w:tcW w:w="5260" w:type="dxa"/>
            <w:hideMark/>
          </w:tcPr>
          <w:p w14:paraId="4F1E8C75" w14:textId="28AF9724" w:rsidR="007135ED" w:rsidRPr="00210AC6" w:rsidRDefault="007135ED" w:rsidP="006620B0">
            <w:pPr>
              <w:spacing w:before="0" w:after="0"/>
              <w:jc w:val="center"/>
              <w:rPr>
                <w:rFonts w:eastAsia="Times New Roman" w:cs="Arial"/>
                <w:szCs w:val="16"/>
              </w:rPr>
            </w:pPr>
            <w:r w:rsidRPr="00210AC6">
              <w:rPr>
                <w:rFonts w:cs="Arial"/>
                <w:szCs w:val="16"/>
              </w:rPr>
              <w:t>0</w:t>
            </w:r>
          </w:p>
        </w:tc>
        <w:tc>
          <w:tcPr>
            <w:tcW w:w="2698" w:type="dxa"/>
            <w:hideMark/>
          </w:tcPr>
          <w:p w14:paraId="61FF423D" w14:textId="69E7F43F" w:rsidR="007135ED" w:rsidRPr="00210AC6" w:rsidRDefault="007135ED" w:rsidP="006620B0">
            <w:pPr>
              <w:spacing w:before="0" w:after="0"/>
              <w:jc w:val="center"/>
              <w:rPr>
                <w:rFonts w:eastAsia="Times New Roman" w:cs="Arial"/>
                <w:szCs w:val="16"/>
              </w:rPr>
            </w:pPr>
            <w:r w:rsidRPr="00210AC6">
              <w:rPr>
                <w:rFonts w:cs="Arial"/>
                <w:szCs w:val="16"/>
              </w:rPr>
              <w:t>0</w:t>
            </w:r>
          </w:p>
        </w:tc>
      </w:tr>
      <w:tr w:rsidR="007135ED" w:rsidRPr="00210AC6" w14:paraId="7506E39B" w14:textId="77777777" w:rsidTr="00E31D6F">
        <w:trPr>
          <w:trHeight w:val="432"/>
        </w:trPr>
        <w:tc>
          <w:tcPr>
            <w:tcW w:w="1866" w:type="dxa"/>
            <w:hideMark/>
          </w:tcPr>
          <w:p w14:paraId="5A38FA4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5</w:t>
            </w:r>
          </w:p>
        </w:tc>
        <w:tc>
          <w:tcPr>
            <w:tcW w:w="5260" w:type="dxa"/>
            <w:hideMark/>
          </w:tcPr>
          <w:p w14:paraId="56E67DDD" w14:textId="62C7A4C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63775BBA" w14:textId="3962637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377F841" w14:textId="77777777" w:rsidTr="00E31D6F">
        <w:trPr>
          <w:trHeight w:val="432"/>
        </w:trPr>
        <w:tc>
          <w:tcPr>
            <w:tcW w:w="1866" w:type="dxa"/>
            <w:hideMark/>
          </w:tcPr>
          <w:p w14:paraId="2456A6E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6</w:t>
            </w:r>
          </w:p>
        </w:tc>
        <w:tc>
          <w:tcPr>
            <w:tcW w:w="5260" w:type="dxa"/>
            <w:hideMark/>
          </w:tcPr>
          <w:p w14:paraId="2B4C92B4" w14:textId="1001CA6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33A4C720" w14:textId="210A767D"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AB6FF3A" w14:textId="77777777" w:rsidTr="00E31D6F">
        <w:trPr>
          <w:trHeight w:val="432"/>
        </w:trPr>
        <w:tc>
          <w:tcPr>
            <w:tcW w:w="1866" w:type="dxa"/>
            <w:hideMark/>
          </w:tcPr>
          <w:p w14:paraId="3C7BC974"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7</w:t>
            </w:r>
          </w:p>
        </w:tc>
        <w:tc>
          <w:tcPr>
            <w:tcW w:w="5260" w:type="dxa"/>
            <w:hideMark/>
          </w:tcPr>
          <w:p w14:paraId="73EC39EF" w14:textId="2AD790D6"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48777B03" w14:textId="55F47E9C"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779C23E" w14:textId="77777777" w:rsidTr="00E31D6F">
        <w:trPr>
          <w:trHeight w:val="432"/>
        </w:trPr>
        <w:tc>
          <w:tcPr>
            <w:tcW w:w="1866" w:type="dxa"/>
            <w:hideMark/>
          </w:tcPr>
          <w:p w14:paraId="496A257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8</w:t>
            </w:r>
          </w:p>
        </w:tc>
        <w:tc>
          <w:tcPr>
            <w:tcW w:w="5260" w:type="dxa"/>
            <w:hideMark/>
          </w:tcPr>
          <w:p w14:paraId="082B43EF" w14:textId="5ACD387E"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7ED9E02B" w14:textId="568C62A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AB1D469" w14:textId="77777777" w:rsidTr="00E31D6F">
        <w:trPr>
          <w:trHeight w:val="432"/>
        </w:trPr>
        <w:tc>
          <w:tcPr>
            <w:tcW w:w="1866" w:type="dxa"/>
            <w:hideMark/>
          </w:tcPr>
          <w:p w14:paraId="651D784C"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9</w:t>
            </w:r>
          </w:p>
        </w:tc>
        <w:tc>
          <w:tcPr>
            <w:tcW w:w="5260" w:type="dxa"/>
            <w:hideMark/>
          </w:tcPr>
          <w:p w14:paraId="369CE928" w14:textId="448F558C"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3CA96C70" w14:textId="4C654E0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9A1B919" w14:textId="77777777" w:rsidTr="00E31D6F">
        <w:trPr>
          <w:trHeight w:val="432"/>
        </w:trPr>
        <w:tc>
          <w:tcPr>
            <w:tcW w:w="1866" w:type="dxa"/>
            <w:hideMark/>
          </w:tcPr>
          <w:p w14:paraId="232EA42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10</w:t>
            </w:r>
          </w:p>
        </w:tc>
        <w:tc>
          <w:tcPr>
            <w:tcW w:w="5260" w:type="dxa"/>
            <w:noWrap/>
            <w:hideMark/>
          </w:tcPr>
          <w:p w14:paraId="4F5D18A1" w14:textId="0D0667C6"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4186C0DD" w14:textId="7A9F886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8A1305C" w14:textId="77777777" w:rsidTr="00E31D6F">
        <w:trPr>
          <w:trHeight w:val="432"/>
        </w:trPr>
        <w:tc>
          <w:tcPr>
            <w:tcW w:w="1866" w:type="dxa"/>
            <w:hideMark/>
          </w:tcPr>
          <w:p w14:paraId="7C46D39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11</w:t>
            </w:r>
          </w:p>
        </w:tc>
        <w:tc>
          <w:tcPr>
            <w:tcW w:w="5260" w:type="dxa"/>
            <w:hideMark/>
          </w:tcPr>
          <w:p w14:paraId="44311E94" w14:textId="0EFD9CD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2B6EE703" w14:textId="41414374"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0BEC1BD" w14:textId="77777777" w:rsidTr="00E31D6F">
        <w:trPr>
          <w:trHeight w:val="432"/>
        </w:trPr>
        <w:tc>
          <w:tcPr>
            <w:tcW w:w="1866" w:type="dxa"/>
            <w:hideMark/>
          </w:tcPr>
          <w:p w14:paraId="3AC9243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12</w:t>
            </w:r>
          </w:p>
        </w:tc>
        <w:tc>
          <w:tcPr>
            <w:tcW w:w="5260" w:type="dxa"/>
            <w:noWrap/>
            <w:hideMark/>
          </w:tcPr>
          <w:p w14:paraId="517E65C9" w14:textId="22367138"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79139EC4" w14:textId="58B023D9"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208F430" w14:textId="77777777" w:rsidTr="00E31D6F">
        <w:trPr>
          <w:trHeight w:val="432"/>
        </w:trPr>
        <w:tc>
          <w:tcPr>
            <w:tcW w:w="1866" w:type="dxa"/>
            <w:hideMark/>
          </w:tcPr>
          <w:p w14:paraId="311B1EF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13</w:t>
            </w:r>
          </w:p>
        </w:tc>
        <w:tc>
          <w:tcPr>
            <w:tcW w:w="5260" w:type="dxa"/>
            <w:hideMark/>
          </w:tcPr>
          <w:p w14:paraId="787ECEA1" w14:textId="72BB8351"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33C9DBFB" w14:textId="006A7124"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55669C6" w14:textId="77777777" w:rsidTr="00E31D6F">
        <w:trPr>
          <w:trHeight w:val="432"/>
        </w:trPr>
        <w:tc>
          <w:tcPr>
            <w:tcW w:w="1866" w:type="dxa"/>
            <w:hideMark/>
          </w:tcPr>
          <w:p w14:paraId="0C8CC4A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14</w:t>
            </w:r>
          </w:p>
        </w:tc>
        <w:tc>
          <w:tcPr>
            <w:tcW w:w="5260" w:type="dxa"/>
            <w:hideMark/>
          </w:tcPr>
          <w:p w14:paraId="0F60439C" w14:textId="6F9A8D8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7B0E7975" w14:textId="5A277488"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017B468" w14:textId="77777777" w:rsidTr="00E31D6F">
        <w:trPr>
          <w:trHeight w:val="432"/>
        </w:trPr>
        <w:tc>
          <w:tcPr>
            <w:tcW w:w="1866" w:type="dxa"/>
            <w:hideMark/>
          </w:tcPr>
          <w:p w14:paraId="0F24BCE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15</w:t>
            </w:r>
          </w:p>
        </w:tc>
        <w:tc>
          <w:tcPr>
            <w:tcW w:w="5260" w:type="dxa"/>
            <w:hideMark/>
          </w:tcPr>
          <w:p w14:paraId="0F6FBA05" w14:textId="68CE842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4C400BF6" w14:textId="5BEBC59F"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80B321C" w14:textId="77777777" w:rsidTr="00E31D6F">
        <w:trPr>
          <w:trHeight w:val="432"/>
        </w:trPr>
        <w:tc>
          <w:tcPr>
            <w:tcW w:w="1866" w:type="dxa"/>
            <w:hideMark/>
          </w:tcPr>
          <w:p w14:paraId="3870E40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16</w:t>
            </w:r>
          </w:p>
        </w:tc>
        <w:tc>
          <w:tcPr>
            <w:tcW w:w="5260" w:type="dxa"/>
            <w:hideMark/>
          </w:tcPr>
          <w:p w14:paraId="5DE8D01C" w14:textId="2664D1F2"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4784ADC5" w14:textId="255F35D2"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96B687B" w14:textId="77777777" w:rsidTr="00E31D6F">
        <w:trPr>
          <w:trHeight w:val="432"/>
        </w:trPr>
        <w:tc>
          <w:tcPr>
            <w:tcW w:w="1866" w:type="dxa"/>
            <w:hideMark/>
          </w:tcPr>
          <w:p w14:paraId="708E4A5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17</w:t>
            </w:r>
          </w:p>
        </w:tc>
        <w:tc>
          <w:tcPr>
            <w:tcW w:w="5260" w:type="dxa"/>
            <w:hideMark/>
          </w:tcPr>
          <w:p w14:paraId="1DC5DFB7" w14:textId="43E1F80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4B2444AC" w14:textId="3739D8B3" w:rsidR="007135ED" w:rsidRPr="00210AC6" w:rsidRDefault="007135ED" w:rsidP="006620B0">
            <w:pPr>
              <w:spacing w:before="0" w:after="0"/>
              <w:jc w:val="center"/>
              <w:rPr>
                <w:rFonts w:eastAsia="Times New Roman" w:cs="Arial"/>
                <w:szCs w:val="16"/>
              </w:rPr>
            </w:pPr>
            <w:r w:rsidRPr="00210AC6">
              <w:rPr>
                <w:rFonts w:cs="Arial"/>
                <w:szCs w:val="16"/>
              </w:rPr>
              <w:t>1</w:t>
            </w:r>
          </w:p>
        </w:tc>
      </w:tr>
      <w:tr w:rsidR="0031684C" w:rsidRPr="00210AC6" w14:paraId="1E8447AE" w14:textId="77777777" w:rsidTr="00E31D6F">
        <w:trPr>
          <w:trHeight w:val="432"/>
        </w:trPr>
        <w:tc>
          <w:tcPr>
            <w:tcW w:w="1866" w:type="dxa"/>
            <w:hideMark/>
          </w:tcPr>
          <w:p w14:paraId="38940309" w14:textId="5B5AFDBC" w:rsidR="0031684C" w:rsidRPr="00210AC6" w:rsidRDefault="0031684C" w:rsidP="006620B0">
            <w:pPr>
              <w:spacing w:before="0" w:after="0"/>
              <w:jc w:val="center"/>
              <w:rPr>
                <w:rFonts w:eastAsia="Times New Roman" w:cs="Arial"/>
                <w:szCs w:val="16"/>
              </w:rPr>
            </w:pPr>
          </w:p>
        </w:tc>
        <w:tc>
          <w:tcPr>
            <w:tcW w:w="5260" w:type="dxa"/>
            <w:hideMark/>
          </w:tcPr>
          <w:p w14:paraId="7ABFFFC3" w14:textId="4C46E094" w:rsidR="0031684C" w:rsidRPr="00210AC6" w:rsidRDefault="0031684C" w:rsidP="006620B0">
            <w:pPr>
              <w:spacing w:before="0" w:after="0"/>
              <w:jc w:val="center"/>
              <w:rPr>
                <w:rFonts w:eastAsia="Times New Roman" w:cs="Arial"/>
                <w:b/>
                <w:bCs/>
                <w:szCs w:val="16"/>
              </w:rPr>
            </w:pPr>
            <w:r w:rsidRPr="00210AC6">
              <w:rPr>
                <w:rFonts w:eastAsia="Times New Roman" w:cs="Arial"/>
                <w:b/>
                <w:bCs/>
                <w:szCs w:val="16"/>
              </w:rPr>
              <w:t>Subtotal</w:t>
            </w:r>
          </w:p>
        </w:tc>
        <w:tc>
          <w:tcPr>
            <w:tcW w:w="2698" w:type="dxa"/>
            <w:hideMark/>
          </w:tcPr>
          <w:p w14:paraId="32C3D9B8" w14:textId="670D0C95" w:rsidR="0031684C" w:rsidRPr="00210AC6" w:rsidRDefault="0031684C" w:rsidP="006620B0">
            <w:pPr>
              <w:spacing w:before="0" w:after="0"/>
              <w:jc w:val="center"/>
              <w:rPr>
                <w:rFonts w:eastAsia="Times New Roman" w:cs="Arial"/>
                <w:szCs w:val="16"/>
              </w:rPr>
            </w:pPr>
            <w:r w:rsidRPr="00210AC6">
              <w:rPr>
                <w:rFonts w:cs="Arial"/>
                <w:szCs w:val="16"/>
              </w:rPr>
              <w:t>20</w:t>
            </w:r>
          </w:p>
        </w:tc>
      </w:tr>
      <w:tr w:rsidR="007135ED" w:rsidRPr="00210AC6" w14:paraId="485EA517" w14:textId="77777777" w:rsidTr="00E31D6F">
        <w:trPr>
          <w:trHeight w:val="432"/>
        </w:trPr>
        <w:tc>
          <w:tcPr>
            <w:tcW w:w="1866" w:type="dxa"/>
            <w:hideMark/>
          </w:tcPr>
          <w:p w14:paraId="53BE9DE6" w14:textId="77777777" w:rsidR="007135ED" w:rsidRPr="00210AC6" w:rsidRDefault="007135ED" w:rsidP="003A7B67">
            <w:pPr>
              <w:spacing w:before="0" w:after="0"/>
              <w:jc w:val="center"/>
              <w:rPr>
                <w:rFonts w:eastAsia="Times New Roman" w:cs="Arial"/>
                <w:b/>
                <w:bCs/>
                <w:szCs w:val="16"/>
              </w:rPr>
            </w:pPr>
            <w:r w:rsidRPr="00210AC6">
              <w:rPr>
                <w:rFonts w:eastAsia="Times New Roman" w:cs="Arial"/>
                <w:b/>
                <w:bCs/>
                <w:szCs w:val="16"/>
              </w:rPr>
              <w:t>APR Score Calculation</w:t>
            </w:r>
          </w:p>
        </w:tc>
        <w:tc>
          <w:tcPr>
            <w:tcW w:w="5260" w:type="dxa"/>
            <w:hideMark/>
          </w:tcPr>
          <w:p w14:paraId="52BC6987" w14:textId="08F58127" w:rsidR="007135ED" w:rsidRPr="00210AC6" w:rsidRDefault="007135ED" w:rsidP="003A7B67">
            <w:pPr>
              <w:spacing w:before="0" w:after="0"/>
              <w:rPr>
                <w:rFonts w:eastAsia="Times New Roman" w:cs="Arial"/>
                <w:b/>
                <w:bCs/>
                <w:szCs w:val="16"/>
              </w:rPr>
            </w:pPr>
            <w:r w:rsidRPr="00210AC6">
              <w:rPr>
                <w:rFonts w:eastAsia="Times New Roman" w:cs="Arial"/>
                <w:b/>
                <w:bCs/>
                <w:szCs w:val="16"/>
              </w:rPr>
              <w:t xml:space="preserve">Timely Submission Points </w:t>
            </w:r>
            <w:r w:rsidRPr="00210AC6">
              <w:rPr>
                <w:rFonts w:eastAsia="Times New Roman" w:cs="Arial"/>
                <w:szCs w:val="16"/>
              </w:rPr>
              <w:t>-  If the FFY 2021 APR was submitted on-time, place the number 5 in the cell on the right.</w:t>
            </w:r>
          </w:p>
        </w:tc>
        <w:tc>
          <w:tcPr>
            <w:tcW w:w="2698" w:type="dxa"/>
            <w:hideMark/>
          </w:tcPr>
          <w:p w14:paraId="21294C3E" w14:textId="25337D8A" w:rsidR="007135ED" w:rsidRPr="00210AC6" w:rsidRDefault="007135ED" w:rsidP="006620B0">
            <w:pPr>
              <w:spacing w:before="0" w:after="0"/>
              <w:jc w:val="center"/>
              <w:rPr>
                <w:rFonts w:eastAsia="Times New Roman" w:cs="Arial"/>
                <w:szCs w:val="16"/>
              </w:rPr>
            </w:pPr>
            <w:r w:rsidRPr="00210AC6">
              <w:rPr>
                <w:rFonts w:cs="Arial"/>
                <w:szCs w:val="16"/>
              </w:rPr>
              <w:t>5</w:t>
            </w:r>
          </w:p>
        </w:tc>
      </w:tr>
      <w:tr w:rsidR="007135ED" w:rsidRPr="00210AC6" w14:paraId="5A856B2E" w14:textId="77777777" w:rsidTr="00E31D6F">
        <w:trPr>
          <w:trHeight w:val="432"/>
        </w:trPr>
        <w:tc>
          <w:tcPr>
            <w:tcW w:w="1866" w:type="dxa"/>
            <w:hideMark/>
          </w:tcPr>
          <w:p w14:paraId="71F03087" w14:textId="77777777" w:rsidR="007135ED" w:rsidRPr="00210AC6" w:rsidRDefault="007135ED" w:rsidP="003A7B67">
            <w:pPr>
              <w:spacing w:before="0" w:after="0"/>
              <w:rPr>
                <w:rFonts w:eastAsia="Times New Roman" w:cs="Arial"/>
                <w:b/>
                <w:bCs/>
                <w:szCs w:val="16"/>
              </w:rPr>
            </w:pPr>
          </w:p>
        </w:tc>
        <w:tc>
          <w:tcPr>
            <w:tcW w:w="5260" w:type="dxa"/>
            <w:hideMark/>
          </w:tcPr>
          <w:p w14:paraId="2682AEB2" w14:textId="3292F875" w:rsidR="007135ED" w:rsidRPr="00210AC6" w:rsidRDefault="007135ED" w:rsidP="003A7B67">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sidR="00214749">
              <w:rPr>
                <w:rFonts w:eastAsia="Times New Roman" w:cs="Arial"/>
                <w:szCs w:val="16"/>
              </w:rPr>
              <w:t>S</w:t>
            </w:r>
            <w:r w:rsidRPr="00210AC6">
              <w:rPr>
                <w:rFonts w:eastAsia="Times New Roman" w:cs="Arial"/>
                <w:szCs w:val="16"/>
              </w:rPr>
              <w:t>ubtotal and Timely Submission Points) =</w:t>
            </w:r>
          </w:p>
        </w:tc>
        <w:tc>
          <w:tcPr>
            <w:tcW w:w="2698" w:type="dxa"/>
            <w:hideMark/>
          </w:tcPr>
          <w:p w14:paraId="7E749BAE" w14:textId="4363CF1B" w:rsidR="007135ED" w:rsidRPr="00210AC6" w:rsidRDefault="007135ED" w:rsidP="006620B0">
            <w:pPr>
              <w:spacing w:before="0" w:after="0"/>
              <w:jc w:val="center"/>
              <w:rPr>
                <w:rFonts w:eastAsia="Times New Roman" w:cs="Arial"/>
                <w:szCs w:val="16"/>
              </w:rPr>
            </w:pPr>
            <w:r w:rsidRPr="00210AC6">
              <w:rPr>
                <w:rFonts w:cs="Arial"/>
                <w:szCs w:val="16"/>
              </w:rPr>
              <w:t>25</w:t>
            </w:r>
          </w:p>
        </w:tc>
      </w:tr>
    </w:tbl>
    <w:p w14:paraId="4B6D9F0C" w14:textId="295BC79F" w:rsidR="00570930" w:rsidRDefault="00570930" w:rsidP="00BE0EEF">
      <w:pPr>
        <w:rPr>
          <w:rFonts w:cs="Arial"/>
          <w:szCs w:val="16"/>
        </w:rPr>
      </w:pPr>
    </w:p>
    <w:p w14:paraId="4105F8D3" w14:textId="77777777" w:rsidR="00570930" w:rsidRDefault="00570930">
      <w:pPr>
        <w:spacing w:before="0" w:after="200" w:line="276" w:lineRule="auto"/>
        <w:rPr>
          <w:rFonts w:cs="Arial"/>
          <w:szCs w:val="16"/>
        </w:rPr>
      </w:pPr>
      <w:r>
        <w:rPr>
          <w:rFonts w:cs="Arial"/>
          <w:szCs w:val="16"/>
        </w:rPr>
        <w:br w:type="page"/>
      </w:r>
    </w:p>
    <w:p w14:paraId="0BF0A0F6" w14:textId="77777777" w:rsidR="00BE0EEF" w:rsidRPr="00210AC6" w:rsidRDefault="00BE0EEF" w:rsidP="00BE0EEF">
      <w:pPr>
        <w:rPr>
          <w:rFonts w:cs="Arial"/>
          <w:szCs w:val="16"/>
        </w:rPr>
      </w:pPr>
    </w:p>
    <w:tbl>
      <w:tblPr>
        <w:tblStyle w:val="TableGrid1"/>
        <w:tblW w:w="9841" w:type="dxa"/>
        <w:tblLayout w:type="fixed"/>
        <w:tblLook w:val="04A0" w:firstRow="1" w:lastRow="0" w:firstColumn="1" w:lastColumn="0" w:noHBand="0" w:noVBand="1"/>
        <w:tblCaption w:val="BRUBCFFYCOLLSTAT"/>
      </w:tblPr>
      <w:tblGrid>
        <w:gridCol w:w="1968"/>
        <w:gridCol w:w="1968"/>
        <w:gridCol w:w="1968"/>
        <w:gridCol w:w="1968"/>
        <w:gridCol w:w="1969"/>
      </w:tblGrid>
      <w:tr w:rsidR="00B42E51" w:rsidRPr="00210AC6" w14:paraId="66E99F64" w14:textId="77777777" w:rsidTr="00E31D6F">
        <w:trPr>
          <w:trHeight w:val="576"/>
          <w:tblHeader/>
        </w:trPr>
        <w:tc>
          <w:tcPr>
            <w:tcW w:w="1968" w:type="dxa"/>
            <w:noWrap/>
            <w:hideMark/>
          </w:tcPr>
          <w:p w14:paraId="484326CB" w14:textId="5FAEFBC5" w:rsidR="00B42E51" w:rsidRPr="00210AC6" w:rsidRDefault="00B42E51" w:rsidP="006620B0">
            <w:pPr>
              <w:spacing w:before="0" w:after="0"/>
              <w:jc w:val="center"/>
              <w:rPr>
                <w:rFonts w:eastAsia="Times New Roman" w:cs="Arial"/>
                <w:b/>
                <w:bCs/>
                <w:szCs w:val="16"/>
              </w:rPr>
            </w:pPr>
          </w:p>
        </w:tc>
        <w:tc>
          <w:tcPr>
            <w:tcW w:w="1968" w:type="dxa"/>
          </w:tcPr>
          <w:p w14:paraId="5334141C" w14:textId="77777777" w:rsidR="00B42E51" w:rsidRPr="00210AC6" w:rsidRDefault="00B42E51" w:rsidP="006620B0">
            <w:pPr>
              <w:spacing w:before="0" w:after="0"/>
              <w:jc w:val="center"/>
              <w:rPr>
                <w:rFonts w:eastAsia="Times New Roman" w:cs="Arial"/>
                <w:b/>
                <w:bCs/>
                <w:szCs w:val="16"/>
              </w:rPr>
            </w:pPr>
          </w:p>
        </w:tc>
        <w:tc>
          <w:tcPr>
            <w:tcW w:w="1968" w:type="dxa"/>
          </w:tcPr>
          <w:p w14:paraId="0FF45243" w14:textId="2E0FEF71" w:rsidR="00B42E51" w:rsidRPr="00210AC6" w:rsidRDefault="00B42E51" w:rsidP="006620B0">
            <w:pPr>
              <w:spacing w:before="0" w:after="0"/>
              <w:jc w:val="center"/>
              <w:rPr>
                <w:rFonts w:eastAsia="Times New Roman" w:cs="Arial"/>
                <w:b/>
                <w:bCs/>
                <w:szCs w:val="16"/>
              </w:rPr>
            </w:pPr>
            <w:r w:rsidRPr="00210AC6">
              <w:rPr>
                <w:rFonts w:eastAsia="Times New Roman" w:cs="Arial"/>
                <w:b/>
                <w:bCs/>
                <w:szCs w:val="16"/>
              </w:rPr>
              <w:t>618 Data</w:t>
            </w:r>
            <w:r w:rsidR="002F6CB6">
              <w:rPr>
                <w:rStyle w:val="FootnoteReference"/>
                <w:rFonts w:eastAsia="Times New Roman" w:cs="Arial"/>
                <w:b/>
                <w:bCs/>
                <w:szCs w:val="16"/>
              </w:rPr>
              <w:footnoteReference w:id="5"/>
            </w:r>
          </w:p>
        </w:tc>
        <w:tc>
          <w:tcPr>
            <w:tcW w:w="1968" w:type="dxa"/>
          </w:tcPr>
          <w:p w14:paraId="2B0490E2" w14:textId="77777777" w:rsidR="00B42E51" w:rsidRPr="00210AC6" w:rsidRDefault="00B42E51" w:rsidP="006620B0">
            <w:pPr>
              <w:spacing w:before="0" w:after="0"/>
              <w:jc w:val="center"/>
              <w:rPr>
                <w:rFonts w:eastAsia="Times New Roman" w:cs="Arial"/>
                <w:b/>
                <w:bCs/>
                <w:szCs w:val="16"/>
              </w:rPr>
            </w:pPr>
          </w:p>
        </w:tc>
        <w:tc>
          <w:tcPr>
            <w:tcW w:w="1969" w:type="dxa"/>
          </w:tcPr>
          <w:p w14:paraId="477B794F" w14:textId="52DB75CD" w:rsidR="00B42E51" w:rsidRPr="00210AC6" w:rsidRDefault="00B42E51" w:rsidP="006620B0">
            <w:pPr>
              <w:spacing w:before="0" w:after="0"/>
              <w:jc w:val="center"/>
              <w:rPr>
                <w:rFonts w:eastAsia="Times New Roman" w:cs="Arial"/>
                <w:b/>
                <w:bCs/>
                <w:szCs w:val="16"/>
              </w:rPr>
            </w:pPr>
          </w:p>
        </w:tc>
      </w:tr>
      <w:tr w:rsidR="00210AC6" w:rsidRPr="00210AC6" w14:paraId="1B30C60F" w14:textId="77777777" w:rsidTr="00E31D6F">
        <w:trPr>
          <w:trHeight w:val="576"/>
        </w:trPr>
        <w:tc>
          <w:tcPr>
            <w:tcW w:w="1968" w:type="dxa"/>
            <w:hideMark/>
          </w:tcPr>
          <w:p w14:paraId="2B94BB69"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Table</w:t>
            </w:r>
          </w:p>
        </w:tc>
        <w:tc>
          <w:tcPr>
            <w:tcW w:w="1968" w:type="dxa"/>
            <w:hideMark/>
          </w:tcPr>
          <w:p w14:paraId="03E67D32"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Timely</w:t>
            </w:r>
          </w:p>
        </w:tc>
        <w:tc>
          <w:tcPr>
            <w:tcW w:w="1968" w:type="dxa"/>
            <w:hideMark/>
          </w:tcPr>
          <w:p w14:paraId="3C5D96A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Complete Data</w:t>
            </w:r>
          </w:p>
        </w:tc>
        <w:tc>
          <w:tcPr>
            <w:tcW w:w="1968" w:type="dxa"/>
            <w:hideMark/>
          </w:tcPr>
          <w:p w14:paraId="6D69FE1A"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hideMark/>
          </w:tcPr>
          <w:p w14:paraId="16461F70"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934DC4" w:rsidRPr="00210AC6" w14:paraId="732EE18E" w14:textId="77777777" w:rsidTr="00E31D6F">
        <w:trPr>
          <w:trHeight w:val="576"/>
        </w:trPr>
        <w:tc>
          <w:tcPr>
            <w:tcW w:w="1968" w:type="dxa"/>
            <w:hideMark/>
          </w:tcPr>
          <w:p w14:paraId="27C353F2" w14:textId="77777777" w:rsidR="006F0B24" w:rsidRDefault="00934DC4" w:rsidP="006620B0">
            <w:pPr>
              <w:spacing w:before="0" w:after="0"/>
              <w:jc w:val="center"/>
              <w:rPr>
                <w:rFonts w:eastAsia="Times New Roman" w:cs="Arial"/>
                <w:b/>
                <w:bCs/>
                <w:szCs w:val="16"/>
              </w:rPr>
            </w:pPr>
            <w:r w:rsidRPr="00210AC6">
              <w:rPr>
                <w:rFonts w:eastAsia="Times New Roman" w:cs="Arial"/>
                <w:b/>
                <w:bCs/>
                <w:szCs w:val="16"/>
              </w:rPr>
              <w:t>Child Count/</w:t>
            </w:r>
          </w:p>
          <w:p w14:paraId="7C54D2F1" w14:textId="4B527F37" w:rsidR="009926E2" w:rsidRDefault="006F0B24" w:rsidP="006620B0">
            <w:pPr>
              <w:spacing w:before="0" w:after="0"/>
              <w:jc w:val="center"/>
              <w:rPr>
                <w:rFonts w:eastAsia="Times New Roman" w:cs="Arial"/>
                <w:b/>
                <w:bCs/>
                <w:szCs w:val="16"/>
              </w:rPr>
            </w:pPr>
            <w:r w:rsidRPr="00B742B0">
              <w:rPr>
                <w:rFonts w:eastAsia="Times New Roman" w:cs="Arial"/>
                <w:b/>
                <w:bCs/>
                <w:szCs w:val="16"/>
              </w:rPr>
              <w:t xml:space="preserve">Ed </w:t>
            </w:r>
            <w:proofErr w:type="spellStart"/>
            <w:r w:rsidRPr="00B742B0">
              <w:rPr>
                <w:rFonts w:eastAsia="Times New Roman" w:cs="Arial"/>
                <w:b/>
                <w:bCs/>
                <w:szCs w:val="16"/>
              </w:rPr>
              <w:t>Envs</w:t>
            </w:r>
            <w:proofErr w:type="spellEnd"/>
            <w:r w:rsidR="00934DC4" w:rsidRPr="00210AC6">
              <w:rPr>
                <w:rFonts w:eastAsia="Times New Roman" w:cs="Arial"/>
                <w:b/>
                <w:bCs/>
                <w:szCs w:val="16"/>
              </w:rPr>
              <w:t xml:space="preserve"> </w:t>
            </w:r>
          </w:p>
          <w:p w14:paraId="392AF408" w14:textId="435A5AA9"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4/6/22</w:t>
            </w:r>
          </w:p>
        </w:tc>
        <w:tc>
          <w:tcPr>
            <w:tcW w:w="1968" w:type="dxa"/>
            <w:hideMark/>
          </w:tcPr>
          <w:p w14:paraId="3FE0B4CB" w14:textId="303091E9"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2A849A14" w14:textId="6E5106CD"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3C17ABEF" w14:textId="5D0E9314"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hideMark/>
          </w:tcPr>
          <w:p w14:paraId="732BD247" w14:textId="5D8F0535"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65D4F6C8" w14:textId="77777777" w:rsidTr="00E31D6F">
        <w:trPr>
          <w:trHeight w:val="576"/>
        </w:trPr>
        <w:tc>
          <w:tcPr>
            <w:tcW w:w="1968" w:type="dxa"/>
            <w:hideMark/>
          </w:tcPr>
          <w:p w14:paraId="688FF6D9" w14:textId="3A12EC22"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Personnel Due Date: 11/2/22</w:t>
            </w:r>
          </w:p>
        </w:tc>
        <w:tc>
          <w:tcPr>
            <w:tcW w:w="1968" w:type="dxa"/>
            <w:hideMark/>
          </w:tcPr>
          <w:p w14:paraId="75FDE32E" w14:textId="4B79AC8A"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280161AF" w14:textId="5A729EB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580D47B8" w14:textId="53025EBE"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hideMark/>
          </w:tcPr>
          <w:p w14:paraId="1085532F" w14:textId="524E2D44"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4B088669" w14:textId="77777777" w:rsidTr="00E31D6F">
        <w:trPr>
          <w:trHeight w:val="576"/>
        </w:trPr>
        <w:tc>
          <w:tcPr>
            <w:tcW w:w="1968" w:type="dxa"/>
            <w:hideMark/>
          </w:tcPr>
          <w:p w14:paraId="360C4627" w14:textId="02F99DB6"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Exiting Due Date: 11/2/22</w:t>
            </w:r>
          </w:p>
        </w:tc>
        <w:tc>
          <w:tcPr>
            <w:tcW w:w="1968" w:type="dxa"/>
            <w:hideMark/>
          </w:tcPr>
          <w:p w14:paraId="0FEC0470" w14:textId="2CF7216B"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6C72EDFD" w14:textId="1E759C58" w:rsidR="00934DC4" w:rsidRPr="00210AC6" w:rsidRDefault="00934DC4" w:rsidP="006620B0">
            <w:pPr>
              <w:spacing w:before="0" w:after="0"/>
              <w:jc w:val="center"/>
              <w:rPr>
                <w:rFonts w:eastAsia="Times New Roman" w:cs="Arial"/>
                <w:b/>
                <w:bCs/>
                <w:szCs w:val="16"/>
              </w:rPr>
            </w:pPr>
            <w:r w:rsidRPr="00210AC6">
              <w:rPr>
                <w:rFonts w:cs="Arial"/>
                <w:szCs w:val="16"/>
              </w:rPr>
              <w:t>0</w:t>
            </w:r>
          </w:p>
        </w:tc>
        <w:tc>
          <w:tcPr>
            <w:tcW w:w="1968" w:type="dxa"/>
            <w:hideMark/>
          </w:tcPr>
          <w:p w14:paraId="1020F0AF" w14:textId="6F5307B8"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hideMark/>
          </w:tcPr>
          <w:p w14:paraId="5ABE2118" w14:textId="4699A88C" w:rsidR="00934DC4" w:rsidRPr="00210AC6" w:rsidRDefault="00934DC4" w:rsidP="006620B0">
            <w:pPr>
              <w:spacing w:before="0" w:after="0"/>
              <w:jc w:val="center"/>
              <w:rPr>
                <w:rFonts w:eastAsia="Times New Roman" w:cs="Arial"/>
                <w:b/>
                <w:bCs/>
                <w:szCs w:val="16"/>
              </w:rPr>
            </w:pPr>
            <w:r w:rsidRPr="00210AC6">
              <w:rPr>
                <w:rFonts w:cs="Arial"/>
                <w:szCs w:val="16"/>
              </w:rPr>
              <w:t>2</w:t>
            </w:r>
          </w:p>
        </w:tc>
      </w:tr>
      <w:tr w:rsidR="00210AC6" w:rsidRPr="00210AC6" w14:paraId="674E0C51" w14:textId="77777777" w:rsidTr="00E31D6F">
        <w:trPr>
          <w:trHeight w:val="576"/>
        </w:trPr>
        <w:tc>
          <w:tcPr>
            <w:tcW w:w="1968" w:type="dxa"/>
            <w:hideMark/>
          </w:tcPr>
          <w:p w14:paraId="21194B2E" w14:textId="3D23FBED"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Discipline Due Date: 11/2/22</w:t>
            </w:r>
          </w:p>
        </w:tc>
        <w:tc>
          <w:tcPr>
            <w:tcW w:w="1968" w:type="dxa"/>
            <w:hideMark/>
          </w:tcPr>
          <w:p w14:paraId="6265DFCD" w14:textId="6A7295B1"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7947AF3C" w14:textId="2C13002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4E1A82FD" w14:textId="5429E23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hideMark/>
          </w:tcPr>
          <w:p w14:paraId="6A1FF6DB" w14:textId="36203379"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143C193C" w14:textId="77777777" w:rsidTr="00E31D6F">
        <w:trPr>
          <w:trHeight w:val="576"/>
        </w:trPr>
        <w:tc>
          <w:tcPr>
            <w:tcW w:w="1968" w:type="dxa"/>
            <w:hideMark/>
          </w:tcPr>
          <w:p w14:paraId="383B7AAF" w14:textId="28847E68"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State Assessment Due Date: 12/21/2022</w:t>
            </w:r>
          </w:p>
        </w:tc>
        <w:tc>
          <w:tcPr>
            <w:tcW w:w="1968" w:type="dxa"/>
            <w:hideMark/>
          </w:tcPr>
          <w:p w14:paraId="5CDE5DB2" w14:textId="26881AE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59BD5280" w14:textId="7E58B5E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4F12D45D" w14:textId="2261B7ED"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hideMark/>
          </w:tcPr>
          <w:p w14:paraId="2069C1CA" w14:textId="5EF430EB"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4565B1AE" w14:textId="77777777" w:rsidTr="00E31D6F">
        <w:trPr>
          <w:trHeight w:val="576"/>
        </w:trPr>
        <w:tc>
          <w:tcPr>
            <w:tcW w:w="1968" w:type="dxa"/>
            <w:hideMark/>
          </w:tcPr>
          <w:p w14:paraId="60A0C4C6" w14:textId="7DF214F3"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Dispute Resolution Due Date: 11/2/22</w:t>
            </w:r>
          </w:p>
        </w:tc>
        <w:tc>
          <w:tcPr>
            <w:tcW w:w="1968" w:type="dxa"/>
            <w:hideMark/>
          </w:tcPr>
          <w:p w14:paraId="12A9BFB1" w14:textId="52DD7DF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152BA206" w14:textId="30A77AAB"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45F386E9" w14:textId="08993D3F"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hideMark/>
          </w:tcPr>
          <w:p w14:paraId="2A8B8478" w14:textId="4853CB93"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5866F31F" w14:textId="77777777" w:rsidTr="00E31D6F">
        <w:trPr>
          <w:trHeight w:val="576"/>
        </w:trPr>
        <w:tc>
          <w:tcPr>
            <w:tcW w:w="1968" w:type="dxa"/>
            <w:hideMark/>
          </w:tcPr>
          <w:p w14:paraId="695E41FD"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MOE/CEIS Due Date:  5/4/22</w:t>
            </w:r>
          </w:p>
        </w:tc>
        <w:tc>
          <w:tcPr>
            <w:tcW w:w="1968" w:type="dxa"/>
            <w:hideMark/>
          </w:tcPr>
          <w:p w14:paraId="601688AF" w14:textId="21FA0D66"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5B86927D" w14:textId="186FEAC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54AEBB59" w14:textId="24F195DC"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hideMark/>
          </w:tcPr>
          <w:p w14:paraId="4E561B6D" w14:textId="41132DB6"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3BA4D322" w14:textId="77777777" w:rsidTr="00E31D6F">
        <w:trPr>
          <w:trHeight w:val="576"/>
        </w:trPr>
        <w:tc>
          <w:tcPr>
            <w:tcW w:w="1968" w:type="dxa"/>
            <w:hideMark/>
          </w:tcPr>
          <w:p w14:paraId="595DE473" w14:textId="44DED396" w:rsidR="00934DC4" w:rsidRPr="00210AC6" w:rsidRDefault="00934DC4" w:rsidP="006620B0">
            <w:pPr>
              <w:spacing w:before="0" w:after="0"/>
              <w:jc w:val="center"/>
              <w:rPr>
                <w:rFonts w:eastAsia="Times New Roman" w:cs="Arial"/>
                <w:szCs w:val="16"/>
              </w:rPr>
            </w:pPr>
          </w:p>
        </w:tc>
        <w:tc>
          <w:tcPr>
            <w:tcW w:w="1968" w:type="dxa"/>
          </w:tcPr>
          <w:p w14:paraId="558DD658" w14:textId="33680D9D" w:rsidR="00934DC4" w:rsidRPr="00210AC6" w:rsidRDefault="00934DC4" w:rsidP="006620B0">
            <w:pPr>
              <w:spacing w:before="0" w:after="0"/>
              <w:jc w:val="center"/>
              <w:rPr>
                <w:rFonts w:eastAsia="Times New Roman" w:cs="Arial"/>
                <w:szCs w:val="16"/>
              </w:rPr>
            </w:pPr>
          </w:p>
        </w:tc>
        <w:tc>
          <w:tcPr>
            <w:tcW w:w="1968" w:type="dxa"/>
          </w:tcPr>
          <w:p w14:paraId="0B44652D" w14:textId="39DF1DFF" w:rsidR="00934DC4" w:rsidRPr="00210AC6" w:rsidRDefault="00934DC4" w:rsidP="006620B0">
            <w:pPr>
              <w:spacing w:before="0" w:after="0"/>
              <w:jc w:val="center"/>
              <w:rPr>
                <w:rFonts w:eastAsia="Times New Roman" w:cs="Arial"/>
                <w:szCs w:val="16"/>
              </w:rPr>
            </w:pPr>
          </w:p>
        </w:tc>
        <w:tc>
          <w:tcPr>
            <w:tcW w:w="1968" w:type="dxa"/>
            <w:hideMark/>
          </w:tcPr>
          <w:p w14:paraId="59EA1AE1"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Subtotal</w:t>
            </w:r>
          </w:p>
        </w:tc>
        <w:tc>
          <w:tcPr>
            <w:tcW w:w="1969" w:type="dxa"/>
            <w:noWrap/>
            <w:hideMark/>
          </w:tcPr>
          <w:p w14:paraId="05161809" w14:textId="4066E385" w:rsidR="00934DC4" w:rsidRPr="00210AC6" w:rsidRDefault="00934DC4" w:rsidP="006620B0">
            <w:pPr>
              <w:spacing w:before="0" w:after="0"/>
              <w:jc w:val="center"/>
              <w:rPr>
                <w:rFonts w:eastAsia="Times New Roman" w:cs="Arial"/>
                <w:szCs w:val="16"/>
              </w:rPr>
            </w:pPr>
            <w:r w:rsidRPr="00210AC6">
              <w:rPr>
                <w:rFonts w:cs="Arial"/>
                <w:szCs w:val="16"/>
              </w:rPr>
              <w:t>20</w:t>
            </w:r>
          </w:p>
        </w:tc>
      </w:tr>
      <w:tr w:rsidR="00934DC4" w:rsidRPr="00210AC6" w14:paraId="75034E7A" w14:textId="77777777" w:rsidTr="00E31D6F">
        <w:trPr>
          <w:trHeight w:val="576"/>
        </w:trPr>
        <w:tc>
          <w:tcPr>
            <w:tcW w:w="1968" w:type="dxa"/>
            <w:hideMark/>
          </w:tcPr>
          <w:p w14:paraId="212D4E0B"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618 Score Calculation</w:t>
            </w:r>
          </w:p>
        </w:tc>
        <w:tc>
          <w:tcPr>
            <w:tcW w:w="1968" w:type="dxa"/>
          </w:tcPr>
          <w:p w14:paraId="6217AD4C" w14:textId="77777777" w:rsidR="00934DC4" w:rsidRPr="00210AC6" w:rsidRDefault="00934DC4" w:rsidP="006620B0">
            <w:pPr>
              <w:spacing w:before="0" w:after="0"/>
              <w:jc w:val="center"/>
              <w:rPr>
                <w:rFonts w:eastAsia="Times New Roman" w:cs="Arial"/>
                <w:b/>
                <w:bCs/>
                <w:szCs w:val="16"/>
              </w:rPr>
            </w:pPr>
          </w:p>
        </w:tc>
        <w:tc>
          <w:tcPr>
            <w:tcW w:w="1968" w:type="dxa"/>
          </w:tcPr>
          <w:p w14:paraId="3D448C3A" w14:textId="084D867E" w:rsidR="00934DC4" w:rsidRPr="00210AC6" w:rsidRDefault="00934DC4" w:rsidP="006620B0">
            <w:pPr>
              <w:spacing w:before="0" w:after="0"/>
              <w:jc w:val="center"/>
              <w:rPr>
                <w:rFonts w:eastAsia="Times New Roman" w:cs="Arial"/>
                <w:b/>
                <w:bCs/>
                <w:szCs w:val="16"/>
              </w:rPr>
            </w:pPr>
          </w:p>
        </w:tc>
        <w:tc>
          <w:tcPr>
            <w:tcW w:w="1968" w:type="dxa"/>
            <w:hideMark/>
          </w:tcPr>
          <w:p w14:paraId="09C474DA" w14:textId="3F8E90EF"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(Subtotal X 1.23809524) =</w:t>
            </w:r>
          </w:p>
        </w:tc>
        <w:tc>
          <w:tcPr>
            <w:tcW w:w="1969" w:type="dxa"/>
            <w:noWrap/>
            <w:hideMark/>
          </w:tcPr>
          <w:p w14:paraId="50C37243" w14:textId="39101BED" w:rsidR="00934DC4" w:rsidRPr="00210AC6" w:rsidRDefault="00934DC4" w:rsidP="006620B0">
            <w:pPr>
              <w:spacing w:before="0" w:after="0"/>
              <w:jc w:val="center"/>
              <w:rPr>
                <w:rFonts w:eastAsia="Times New Roman" w:cs="Arial"/>
                <w:szCs w:val="16"/>
              </w:rPr>
            </w:pPr>
            <w:r w:rsidRPr="00210AC6">
              <w:rPr>
                <w:rFonts w:cs="Arial"/>
                <w:szCs w:val="16"/>
              </w:rPr>
              <w:t>24.76</w:t>
            </w:r>
          </w:p>
        </w:tc>
      </w:tr>
    </w:tbl>
    <w:p w14:paraId="19908CB5" w14:textId="6E565737" w:rsidR="00570930" w:rsidRDefault="00570930" w:rsidP="00BE0EEF">
      <w:pPr>
        <w:rPr>
          <w:rFonts w:cs="Arial"/>
          <w:color w:val="000000" w:themeColor="text1"/>
          <w:szCs w:val="16"/>
        </w:rPr>
      </w:pPr>
    </w:p>
    <w:p w14:paraId="015CC089" w14:textId="77777777" w:rsidR="00570930" w:rsidRDefault="00570930">
      <w:pPr>
        <w:spacing w:before="0" w:after="200" w:line="276" w:lineRule="auto"/>
        <w:rPr>
          <w:rFonts w:cs="Arial"/>
          <w:color w:val="000000" w:themeColor="text1"/>
          <w:szCs w:val="16"/>
        </w:rPr>
      </w:pPr>
      <w:r>
        <w:rPr>
          <w:rFonts w:cs="Arial"/>
          <w:color w:val="000000" w:themeColor="text1"/>
          <w:szCs w:val="16"/>
        </w:rPr>
        <w:br w:type="page"/>
      </w:r>
    </w:p>
    <w:p w14:paraId="13C7AD77" w14:textId="77777777" w:rsidR="00BE0EEF" w:rsidRDefault="00BE0EEF" w:rsidP="00BE0EEF">
      <w:pPr>
        <w:rPr>
          <w:rFonts w:cs="Arial"/>
          <w:color w:val="000000" w:themeColor="text1"/>
          <w:szCs w:val="16"/>
        </w:rPr>
      </w:pPr>
    </w:p>
    <w:tbl>
      <w:tblPr>
        <w:tblStyle w:val="TableGrid1"/>
        <w:tblW w:w="9839" w:type="dxa"/>
        <w:tblLook w:val="04A0" w:firstRow="1" w:lastRow="0" w:firstColumn="1" w:lastColumn="0" w:noHBand="0" w:noVBand="1"/>
        <w:tblCaption w:val="BRUBCFFYINDCALC"/>
      </w:tblPr>
      <w:tblGrid>
        <w:gridCol w:w="4919"/>
        <w:gridCol w:w="4920"/>
      </w:tblGrid>
      <w:tr w:rsidR="003521AD" w:rsidRPr="00210AC6" w14:paraId="204BD583" w14:textId="77777777" w:rsidTr="00714F02">
        <w:trPr>
          <w:trHeight w:val="432"/>
          <w:tblHeader/>
        </w:trPr>
        <w:tc>
          <w:tcPr>
            <w:tcW w:w="4919" w:type="dxa"/>
            <w:hideMark/>
          </w:tcPr>
          <w:p w14:paraId="59C2C8B0" w14:textId="6E3F554B" w:rsidR="003521AD" w:rsidRDefault="00E31D6F" w:rsidP="003521AD">
            <w:pPr>
              <w:spacing w:before="0" w:after="0"/>
              <w:jc w:val="center"/>
              <w:rPr>
                <w:rFonts w:eastAsia="Times New Roman" w:cs="Arial"/>
                <w:b/>
                <w:bCs/>
                <w:szCs w:val="16"/>
              </w:rPr>
            </w:pPr>
            <w:r>
              <w:rPr>
                <w:rFonts w:cs="Arial"/>
                <w:color w:val="000000" w:themeColor="text1"/>
                <w:szCs w:val="16"/>
              </w:rPr>
              <w:br w:type="page"/>
            </w:r>
            <w:r w:rsidR="003521AD" w:rsidRPr="00210AC6">
              <w:rPr>
                <w:rFonts w:eastAsia="Times New Roman" w:cs="Arial"/>
                <w:b/>
                <w:bCs/>
                <w:szCs w:val="16"/>
              </w:rPr>
              <w:t>Indicator Calculation</w:t>
            </w:r>
          </w:p>
        </w:tc>
        <w:tc>
          <w:tcPr>
            <w:tcW w:w="4920" w:type="dxa"/>
          </w:tcPr>
          <w:p w14:paraId="5972B30D" w14:textId="2CF704DA" w:rsidR="003521AD" w:rsidRPr="00210AC6" w:rsidRDefault="003521AD" w:rsidP="003521AD">
            <w:pPr>
              <w:spacing w:before="0" w:after="0"/>
              <w:rPr>
                <w:rFonts w:eastAsia="Times New Roman" w:cs="Arial"/>
                <w:b/>
                <w:bCs/>
                <w:szCs w:val="16"/>
              </w:rPr>
            </w:pPr>
          </w:p>
        </w:tc>
      </w:tr>
      <w:tr w:rsidR="00435E51" w:rsidRPr="00210AC6" w14:paraId="2A6102B0" w14:textId="77777777" w:rsidTr="00714F02">
        <w:trPr>
          <w:trHeight w:val="432"/>
        </w:trPr>
        <w:tc>
          <w:tcPr>
            <w:tcW w:w="4919" w:type="dxa"/>
            <w:hideMark/>
          </w:tcPr>
          <w:p w14:paraId="184AC9A0" w14:textId="77777777" w:rsidR="00435E51" w:rsidRPr="00210AC6" w:rsidRDefault="00435E51" w:rsidP="00435E51">
            <w:pPr>
              <w:spacing w:before="0" w:after="0"/>
              <w:rPr>
                <w:rFonts w:eastAsia="Times New Roman" w:cs="Arial"/>
                <w:szCs w:val="16"/>
              </w:rPr>
            </w:pPr>
            <w:r w:rsidRPr="00210AC6">
              <w:rPr>
                <w:rFonts w:eastAsia="Times New Roman" w:cs="Arial"/>
                <w:szCs w:val="16"/>
              </w:rPr>
              <w:t>A. APR Grand Total</w:t>
            </w:r>
          </w:p>
        </w:tc>
        <w:tc>
          <w:tcPr>
            <w:tcW w:w="4920" w:type="dxa"/>
            <w:hideMark/>
          </w:tcPr>
          <w:p w14:paraId="0825BA19" w14:textId="54223086" w:rsidR="00435E51" w:rsidRPr="00210AC6" w:rsidRDefault="00435E51" w:rsidP="00435E51">
            <w:pPr>
              <w:spacing w:before="0" w:after="0"/>
              <w:rPr>
                <w:rFonts w:eastAsia="Times New Roman" w:cs="Arial"/>
                <w:szCs w:val="16"/>
              </w:rPr>
            </w:pPr>
            <w:r w:rsidRPr="00210AC6">
              <w:rPr>
                <w:rFonts w:cs="Arial"/>
                <w:szCs w:val="16"/>
              </w:rPr>
              <w:t>25</w:t>
            </w:r>
          </w:p>
        </w:tc>
      </w:tr>
      <w:tr w:rsidR="00435E51" w:rsidRPr="00210AC6" w14:paraId="190B3554" w14:textId="77777777" w:rsidTr="00714F02">
        <w:trPr>
          <w:trHeight w:val="432"/>
        </w:trPr>
        <w:tc>
          <w:tcPr>
            <w:tcW w:w="4919" w:type="dxa"/>
            <w:hideMark/>
          </w:tcPr>
          <w:p w14:paraId="66B0D6DA" w14:textId="77777777" w:rsidR="00435E51" w:rsidRPr="00210AC6" w:rsidRDefault="00435E51" w:rsidP="00435E51">
            <w:pPr>
              <w:spacing w:before="0" w:after="0"/>
              <w:rPr>
                <w:rFonts w:eastAsia="Times New Roman" w:cs="Arial"/>
                <w:szCs w:val="16"/>
              </w:rPr>
            </w:pPr>
            <w:r w:rsidRPr="00210AC6">
              <w:rPr>
                <w:rFonts w:eastAsia="Times New Roman" w:cs="Arial"/>
                <w:szCs w:val="16"/>
              </w:rPr>
              <w:t>B. 618 Grand Total</w:t>
            </w:r>
          </w:p>
        </w:tc>
        <w:tc>
          <w:tcPr>
            <w:tcW w:w="4920" w:type="dxa"/>
            <w:hideMark/>
          </w:tcPr>
          <w:p w14:paraId="292F5CE3" w14:textId="3D2DF12B" w:rsidR="00435E51" w:rsidRPr="00210AC6" w:rsidRDefault="00435E51" w:rsidP="00435E51">
            <w:pPr>
              <w:spacing w:before="0" w:after="0"/>
              <w:rPr>
                <w:rFonts w:eastAsia="Times New Roman" w:cs="Arial"/>
                <w:szCs w:val="16"/>
              </w:rPr>
            </w:pPr>
            <w:r w:rsidRPr="00435E51">
              <w:t>24.76</w:t>
            </w:r>
          </w:p>
        </w:tc>
      </w:tr>
      <w:tr w:rsidR="00435E51" w:rsidRPr="00210AC6" w14:paraId="7044E659" w14:textId="77777777" w:rsidTr="00714F02">
        <w:trPr>
          <w:trHeight w:val="432"/>
        </w:trPr>
        <w:tc>
          <w:tcPr>
            <w:tcW w:w="4919" w:type="dxa"/>
            <w:hideMark/>
          </w:tcPr>
          <w:p w14:paraId="5E098838" w14:textId="77777777" w:rsidR="00435E51" w:rsidRPr="00210AC6" w:rsidRDefault="00435E51" w:rsidP="00435E51">
            <w:pPr>
              <w:spacing w:before="0" w:after="0"/>
              <w:rPr>
                <w:rFonts w:eastAsia="Times New Roman" w:cs="Arial"/>
                <w:szCs w:val="16"/>
              </w:rPr>
            </w:pPr>
            <w:r w:rsidRPr="00210AC6">
              <w:rPr>
                <w:rFonts w:eastAsia="Times New Roman" w:cs="Arial"/>
                <w:szCs w:val="16"/>
              </w:rPr>
              <w:t>C. APR Grand Total (A) + 618 Grand Total (B) =</w:t>
            </w:r>
          </w:p>
        </w:tc>
        <w:tc>
          <w:tcPr>
            <w:tcW w:w="4920" w:type="dxa"/>
            <w:hideMark/>
          </w:tcPr>
          <w:p w14:paraId="2EBBA8BB" w14:textId="582D281B" w:rsidR="00435E51" w:rsidRPr="00210AC6" w:rsidRDefault="00435E51" w:rsidP="00435E51">
            <w:pPr>
              <w:spacing w:before="0" w:after="0"/>
              <w:rPr>
                <w:rFonts w:eastAsia="Times New Roman" w:cs="Arial"/>
                <w:szCs w:val="16"/>
              </w:rPr>
            </w:pPr>
            <w:r w:rsidRPr="00C1283C">
              <w:t>49.76</w:t>
            </w:r>
          </w:p>
        </w:tc>
      </w:tr>
      <w:tr w:rsidR="00435E51" w:rsidRPr="00210AC6" w14:paraId="6E235E7C" w14:textId="77777777" w:rsidTr="00714F02">
        <w:trPr>
          <w:trHeight w:val="432"/>
        </w:trPr>
        <w:tc>
          <w:tcPr>
            <w:tcW w:w="4919" w:type="dxa"/>
            <w:hideMark/>
          </w:tcPr>
          <w:p w14:paraId="1E45CB10" w14:textId="36E72B3C"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4920" w:type="dxa"/>
            <w:hideMark/>
          </w:tcPr>
          <w:p w14:paraId="768BD97C" w14:textId="60485CAD" w:rsidR="00435E51" w:rsidRPr="00210AC6" w:rsidRDefault="00435E51" w:rsidP="00435E51">
            <w:pPr>
              <w:spacing w:before="0" w:after="0"/>
              <w:rPr>
                <w:rFonts w:eastAsia="Times New Roman" w:cs="Arial"/>
                <w:szCs w:val="16"/>
              </w:rPr>
            </w:pPr>
            <w:r w:rsidRPr="00C1283C">
              <w:t>0</w:t>
            </w:r>
          </w:p>
        </w:tc>
      </w:tr>
      <w:tr w:rsidR="00435E51" w:rsidRPr="00210AC6" w14:paraId="1162D2AC" w14:textId="77777777" w:rsidTr="00714F02">
        <w:trPr>
          <w:trHeight w:val="432"/>
        </w:trPr>
        <w:tc>
          <w:tcPr>
            <w:tcW w:w="4919" w:type="dxa"/>
            <w:hideMark/>
          </w:tcPr>
          <w:p w14:paraId="5DEC9F60" w14:textId="5D7276DC"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4920" w:type="dxa"/>
            <w:hideMark/>
          </w:tcPr>
          <w:p w14:paraId="59AB081B" w14:textId="0EC0F562" w:rsidR="00435E51" w:rsidRPr="00210AC6" w:rsidRDefault="00435E51" w:rsidP="00435E51">
            <w:pPr>
              <w:spacing w:before="0" w:after="0"/>
              <w:rPr>
                <w:rFonts w:eastAsia="Times New Roman" w:cs="Arial"/>
                <w:szCs w:val="16"/>
              </w:rPr>
            </w:pPr>
            <w:r w:rsidRPr="00C1283C">
              <w:t>0.00</w:t>
            </w:r>
          </w:p>
        </w:tc>
      </w:tr>
      <w:tr w:rsidR="00435E51" w:rsidRPr="00210AC6" w14:paraId="028FED6F" w14:textId="77777777" w:rsidTr="00714F02">
        <w:trPr>
          <w:trHeight w:val="432"/>
        </w:trPr>
        <w:tc>
          <w:tcPr>
            <w:tcW w:w="4919" w:type="dxa"/>
            <w:hideMark/>
          </w:tcPr>
          <w:p w14:paraId="1738C251" w14:textId="1F807C1C" w:rsidR="00435E51" w:rsidRPr="00210AC6" w:rsidRDefault="00E31D6F" w:rsidP="00435E51">
            <w:pPr>
              <w:spacing w:before="0" w:after="0"/>
              <w:jc w:val="right"/>
              <w:rPr>
                <w:rFonts w:eastAsia="Times New Roman" w:cs="Arial"/>
                <w:b/>
                <w:bCs/>
                <w:szCs w:val="16"/>
              </w:rPr>
            </w:pPr>
            <w:r>
              <w:rPr>
                <w:rFonts w:eastAsia="Times New Roman" w:cs="Arial"/>
                <w:b/>
                <w:bCs/>
                <w:szCs w:val="16"/>
              </w:rPr>
              <w:t>Denominator</w:t>
            </w:r>
          </w:p>
        </w:tc>
        <w:tc>
          <w:tcPr>
            <w:tcW w:w="4920" w:type="dxa"/>
            <w:hideMark/>
          </w:tcPr>
          <w:p w14:paraId="778348E2" w14:textId="6564F030" w:rsidR="00435E51" w:rsidRPr="00210AC6" w:rsidRDefault="00435E51" w:rsidP="00435E51">
            <w:pPr>
              <w:spacing w:before="0" w:after="0"/>
              <w:rPr>
                <w:rFonts w:eastAsia="Times New Roman" w:cs="Arial"/>
                <w:szCs w:val="16"/>
              </w:rPr>
            </w:pPr>
            <w:r w:rsidRPr="00C1283C">
              <w:t>52.00</w:t>
            </w:r>
          </w:p>
        </w:tc>
      </w:tr>
      <w:tr w:rsidR="00435E51" w:rsidRPr="00210AC6" w14:paraId="6982C8B2" w14:textId="77777777" w:rsidTr="00714F02">
        <w:trPr>
          <w:trHeight w:val="432"/>
        </w:trPr>
        <w:tc>
          <w:tcPr>
            <w:tcW w:w="4919" w:type="dxa"/>
            <w:hideMark/>
          </w:tcPr>
          <w:p w14:paraId="66945B04" w14:textId="5A297E13" w:rsidR="00435E51" w:rsidRPr="00210AC6" w:rsidRDefault="00435E51" w:rsidP="00435E51">
            <w:pPr>
              <w:spacing w:before="0" w:after="0"/>
              <w:rPr>
                <w:rFonts w:eastAsia="Times New Roman" w:cs="Arial"/>
                <w:szCs w:val="16"/>
              </w:rPr>
            </w:pPr>
            <w:r w:rsidRPr="00210AC6">
              <w:rPr>
                <w:rFonts w:eastAsia="Times New Roman" w:cs="Arial"/>
                <w:szCs w:val="16"/>
              </w:rPr>
              <w:t>D. Subtotal (C divided by Denominator*) =</w:t>
            </w:r>
          </w:p>
        </w:tc>
        <w:tc>
          <w:tcPr>
            <w:tcW w:w="4920" w:type="dxa"/>
            <w:hideMark/>
          </w:tcPr>
          <w:p w14:paraId="6474A249" w14:textId="2043387F" w:rsidR="00435E51" w:rsidRPr="00210AC6" w:rsidRDefault="00435E51" w:rsidP="00435E51">
            <w:pPr>
              <w:spacing w:before="0" w:after="0"/>
              <w:rPr>
                <w:rFonts w:eastAsia="Times New Roman" w:cs="Arial"/>
                <w:szCs w:val="16"/>
              </w:rPr>
            </w:pPr>
            <w:r w:rsidRPr="00C1283C">
              <w:t>0.9570</w:t>
            </w:r>
          </w:p>
        </w:tc>
      </w:tr>
      <w:tr w:rsidR="00435E51" w:rsidRPr="00210AC6" w14:paraId="7D8A43BC" w14:textId="77777777" w:rsidTr="00714F02">
        <w:trPr>
          <w:trHeight w:val="432"/>
        </w:trPr>
        <w:tc>
          <w:tcPr>
            <w:tcW w:w="4919" w:type="dxa"/>
            <w:hideMark/>
          </w:tcPr>
          <w:p w14:paraId="595A505F" w14:textId="77777777" w:rsidR="00435E51" w:rsidRPr="00210AC6" w:rsidRDefault="00435E51" w:rsidP="00435E51">
            <w:pPr>
              <w:spacing w:before="0" w:after="0"/>
              <w:rPr>
                <w:rFonts w:eastAsia="Times New Roman" w:cs="Arial"/>
                <w:szCs w:val="16"/>
              </w:rPr>
            </w:pPr>
            <w:r w:rsidRPr="00210AC6">
              <w:rPr>
                <w:rFonts w:eastAsia="Times New Roman" w:cs="Arial"/>
                <w:szCs w:val="16"/>
              </w:rPr>
              <w:t>E. Indicator Score (Subtotal D x 100) =</w:t>
            </w:r>
          </w:p>
        </w:tc>
        <w:tc>
          <w:tcPr>
            <w:tcW w:w="4920" w:type="dxa"/>
            <w:hideMark/>
          </w:tcPr>
          <w:p w14:paraId="78CA2214" w14:textId="6B3E20AB" w:rsidR="00435E51" w:rsidRPr="00210AC6" w:rsidRDefault="00435E51" w:rsidP="00435E51">
            <w:pPr>
              <w:spacing w:before="0" w:after="0"/>
              <w:rPr>
                <w:rFonts w:eastAsia="Times New Roman" w:cs="Arial"/>
                <w:szCs w:val="16"/>
              </w:rPr>
            </w:pPr>
            <w:r w:rsidRPr="00C1283C">
              <w:t>95.70</w:t>
            </w:r>
          </w:p>
        </w:tc>
      </w:tr>
    </w:tbl>
    <w:p w14:paraId="769E196A" w14:textId="77777777" w:rsidR="001853BF" w:rsidRDefault="001853BF" w:rsidP="00B42C5F">
      <w:pPr>
        <w:rPr>
          <w:rFonts w:eastAsia="Times New Roman" w:cs="Arial"/>
          <w:b/>
          <w:bCs/>
          <w:szCs w:val="16"/>
        </w:rPr>
      </w:pPr>
    </w:p>
    <w:p w14:paraId="5EFBC357" w14:textId="33BA4787" w:rsidR="00F02F41" w:rsidRDefault="001853BF" w:rsidP="00D12506">
      <w:pPr>
        <w:rPr>
          <w:rFonts w:eastAsia="Times New Roman" w:cs="Arial"/>
          <w:b/>
          <w:bCs/>
          <w:szCs w:val="16"/>
        </w:rPr>
      </w:pPr>
      <w:r w:rsidRPr="00210AC6">
        <w:rPr>
          <w:rFonts w:eastAsia="Times New Roman" w:cs="Arial"/>
          <w:b/>
          <w:bCs/>
          <w:szCs w:val="16"/>
        </w:rPr>
        <w:t>*Note that any cell marked as N/A in the APR Data Table will decrease the denominator by 1, and any cell marked as N/A in the 618 Data Table will decrease the denominator by 1.23809524.</w:t>
      </w:r>
    </w:p>
    <w:p w14:paraId="78EE533A" w14:textId="403F6F0A" w:rsidR="0078594A" w:rsidRDefault="00D8678D" w:rsidP="00D12506">
      <w:pPr>
        <w:rPr>
          <w:rFonts w:eastAsia="Times New Roman" w:cs="Arial"/>
          <w:b/>
          <w:bCs/>
          <w:szCs w:val="16"/>
        </w:rPr>
      </w:pPr>
      <w:r>
        <w:rPr>
          <w:rFonts w:eastAsia="Times New Roman" w:cs="Arial"/>
          <w:b/>
          <w:bCs/>
          <w:szCs w:val="16"/>
        </w:rPr>
        <w:t>_________________________________________________________________________________________________________________________</w:t>
      </w:r>
    </w:p>
    <w:p w14:paraId="7D8DC835" w14:textId="77777777" w:rsidR="0078594A" w:rsidRDefault="0078594A" w:rsidP="00D12506">
      <w:pPr>
        <w:rPr>
          <w:rFonts w:eastAsia="Times New Roman" w:cs="Arial"/>
          <w:b/>
          <w:bCs/>
          <w:szCs w:val="16"/>
        </w:rPr>
      </w:pPr>
    </w:p>
    <w:p w14:paraId="7BAA8128" w14:textId="77777777" w:rsidR="0078594A" w:rsidRDefault="0078594A" w:rsidP="00D12506">
      <w:pPr>
        <w:rPr>
          <w:rFonts w:eastAsia="Times New Roman" w:cs="Arial"/>
          <w:b/>
          <w:bCs/>
          <w:szCs w:val="16"/>
        </w:rPr>
      </w:pPr>
    </w:p>
    <w:p w14:paraId="1680CB83" w14:textId="77777777" w:rsidR="0078594A" w:rsidRDefault="0078594A" w:rsidP="00D12506"/>
    <w:p w14:paraId="6EA24703" w14:textId="77777777" w:rsidR="00D84A0A" w:rsidRDefault="00D84A0A" w:rsidP="00D84A0A">
      <w:pPr>
        <w:spacing w:before="0" w:after="200" w:line="276" w:lineRule="auto"/>
      </w:pPr>
    </w:p>
    <w:p w14:paraId="130C5698" w14:textId="7694A105" w:rsidR="00D84A0A" w:rsidRPr="003A34C1" w:rsidRDefault="00D84A0A" w:rsidP="00D84A0A">
      <w:pPr>
        <w:spacing w:before="0" w:after="200" w:line="276" w:lineRule="auto"/>
      </w:pPr>
      <w:r>
        <w:br w:type="page"/>
      </w:r>
    </w:p>
    <w:p w14:paraId="37CA7204" w14:textId="77777777" w:rsidR="004777CA" w:rsidRPr="008A41E6" w:rsidRDefault="004777CA" w:rsidP="004777CA">
      <w:pPr>
        <w:rPr>
          <w:b/>
          <w:bCs/>
          <w:sz w:val="20"/>
          <w:szCs w:val="28"/>
        </w:rPr>
      </w:pPr>
      <w:r w:rsidRPr="008A41E6">
        <w:rPr>
          <w:b/>
          <w:bCs/>
          <w:sz w:val="20"/>
          <w:szCs w:val="28"/>
        </w:rPr>
        <w:t>APR and 618 -Timely and Accurate State Reported Data</w:t>
      </w:r>
    </w:p>
    <w:p w14:paraId="6C84D9C5" w14:textId="77777777" w:rsidR="004777CA" w:rsidRDefault="004777CA" w:rsidP="004777CA"/>
    <w:p w14:paraId="3FA33DFF" w14:textId="77777777" w:rsidR="004777CA" w:rsidRPr="008A41E6" w:rsidRDefault="004777CA" w:rsidP="004777CA">
      <w:pPr>
        <w:rPr>
          <w:b/>
          <w:bCs/>
        </w:rPr>
      </w:pPr>
      <w:r w:rsidRPr="008A41E6">
        <w:rPr>
          <w:b/>
          <w:bCs/>
        </w:rPr>
        <w:t>DATE: February 2023 Submission</w:t>
      </w:r>
    </w:p>
    <w:p w14:paraId="748E3AF9" w14:textId="77777777" w:rsidR="004777CA" w:rsidRDefault="004777CA" w:rsidP="004777CA"/>
    <w:p w14:paraId="51D89716" w14:textId="30A47721" w:rsidR="00EF6405" w:rsidRPr="00EF6405" w:rsidRDefault="00EF6405" w:rsidP="004777CA">
      <w:pPr>
        <w:rPr>
          <w:b/>
          <w:bCs/>
        </w:rPr>
      </w:pPr>
      <w:r w:rsidRPr="00EF6405">
        <w:rPr>
          <w:b/>
          <w:bCs/>
        </w:rPr>
        <w:t>SPP/APR Data</w:t>
      </w:r>
    </w:p>
    <w:p w14:paraId="2BC0BE25" w14:textId="77777777" w:rsidR="00EF6405" w:rsidRDefault="00EF6405" w:rsidP="004777CA"/>
    <w:p w14:paraId="0F794C69" w14:textId="77777777" w:rsidR="004777CA" w:rsidRDefault="004777CA" w:rsidP="004777CA">
      <w:r w:rsidRPr="008A41E6">
        <w:rPr>
          <w:b/>
          <w:bCs/>
        </w:rPr>
        <w:t>1) Valid and Reliable Data</w:t>
      </w:r>
      <w:r w:rsidRPr="008A41E6">
        <w:t xml:space="preserve"> - Data provided are from the correct time period, are consistent with 618 (when appropriate) and the measurement, and are consistent with previous indicator data (unless explained).</w:t>
      </w:r>
    </w:p>
    <w:p w14:paraId="3B7505A0" w14:textId="77777777" w:rsidR="004777CA" w:rsidRDefault="004777CA" w:rsidP="004777CA"/>
    <w:p w14:paraId="1365AEC8" w14:textId="77944949" w:rsidR="004777CA" w:rsidRDefault="004777CA" w:rsidP="004777CA">
      <w:r w:rsidRPr="008A41E6">
        <w:rPr>
          <w:b/>
          <w:bCs/>
        </w:rPr>
        <w:t>Part B 618 Data</w:t>
      </w:r>
    </w:p>
    <w:p w14:paraId="3EEEF876" w14:textId="77777777" w:rsidR="004777CA" w:rsidRDefault="004777CA" w:rsidP="004777CA"/>
    <w:p w14:paraId="5BAC76FC" w14:textId="005D8856" w:rsidR="004777CA" w:rsidRPr="004777CA" w:rsidRDefault="004777CA" w:rsidP="004777CA">
      <w:r w:rsidRPr="004777CA">
        <w:rPr>
          <w:b/>
          <w:bCs/>
        </w:rPr>
        <w:t xml:space="preserve">1) Timely </w:t>
      </w:r>
      <w:r w:rsidRPr="004777CA">
        <w:t xml:space="preserve">–   A State will receive one point if it submits all EDFacts files or the entire EMAPS survey associated with the IDEA Section 618 data collection to ED by the initial due date for that collection (as described the table below).    </w:t>
      </w:r>
    </w:p>
    <w:p w14:paraId="1F43F1D5" w14:textId="77777777" w:rsidR="004777CA" w:rsidRDefault="004777CA" w:rsidP="004777CA"/>
    <w:tbl>
      <w:tblPr>
        <w:tblStyle w:val="TableGrid"/>
        <w:tblW w:w="0" w:type="auto"/>
        <w:tblLook w:val="04A0" w:firstRow="1" w:lastRow="0" w:firstColumn="1" w:lastColumn="0" w:noHBand="0" w:noVBand="1"/>
        <w:tblCaption w:val="BRUBCFFYREADME"/>
      </w:tblPr>
      <w:tblGrid>
        <w:gridCol w:w="2605"/>
        <w:gridCol w:w="3617"/>
        <w:gridCol w:w="3618"/>
      </w:tblGrid>
      <w:tr w:rsidR="004777CA" w:rsidRPr="004777CA" w14:paraId="4472B9F9" w14:textId="77777777" w:rsidTr="004777CA">
        <w:trPr>
          <w:trHeight w:val="20"/>
        </w:trPr>
        <w:tc>
          <w:tcPr>
            <w:tcW w:w="2605" w:type="dxa"/>
            <w:hideMark/>
          </w:tcPr>
          <w:p w14:paraId="1648227D" w14:textId="77777777" w:rsidR="004777CA" w:rsidRPr="004777CA" w:rsidRDefault="004777CA" w:rsidP="004777CA">
            <w:pPr>
              <w:rPr>
                <w:b/>
                <w:bCs/>
              </w:rPr>
            </w:pPr>
            <w:r w:rsidRPr="004777CA">
              <w:rPr>
                <w:b/>
                <w:bCs/>
              </w:rPr>
              <w:t>618 Data Collection</w:t>
            </w:r>
          </w:p>
        </w:tc>
        <w:tc>
          <w:tcPr>
            <w:tcW w:w="3617" w:type="dxa"/>
            <w:hideMark/>
          </w:tcPr>
          <w:p w14:paraId="685FDACB" w14:textId="77777777" w:rsidR="004777CA" w:rsidRPr="004777CA" w:rsidRDefault="004777CA">
            <w:pPr>
              <w:rPr>
                <w:b/>
                <w:bCs/>
              </w:rPr>
            </w:pPr>
            <w:r w:rsidRPr="004777CA">
              <w:rPr>
                <w:b/>
                <w:bCs/>
              </w:rPr>
              <w:t>EDFacts Files/ EMAPS Survey</w:t>
            </w:r>
          </w:p>
        </w:tc>
        <w:tc>
          <w:tcPr>
            <w:tcW w:w="3618" w:type="dxa"/>
            <w:hideMark/>
          </w:tcPr>
          <w:p w14:paraId="40597F3A" w14:textId="77777777" w:rsidR="004777CA" w:rsidRPr="004777CA" w:rsidRDefault="004777CA">
            <w:pPr>
              <w:rPr>
                <w:b/>
                <w:bCs/>
              </w:rPr>
            </w:pPr>
            <w:r w:rsidRPr="004777CA">
              <w:rPr>
                <w:b/>
                <w:bCs/>
              </w:rPr>
              <w:t>Due Date</w:t>
            </w:r>
          </w:p>
        </w:tc>
      </w:tr>
      <w:tr w:rsidR="004777CA" w:rsidRPr="004777CA" w14:paraId="5AB489B7" w14:textId="77777777" w:rsidTr="004777CA">
        <w:trPr>
          <w:trHeight w:val="20"/>
        </w:trPr>
        <w:tc>
          <w:tcPr>
            <w:tcW w:w="2605" w:type="dxa"/>
            <w:hideMark/>
          </w:tcPr>
          <w:p w14:paraId="00556080" w14:textId="77777777" w:rsidR="004777CA" w:rsidRPr="004777CA" w:rsidRDefault="004777CA">
            <w:r w:rsidRPr="004777CA">
              <w:t>Part B Child Count and Educational Environments</w:t>
            </w:r>
          </w:p>
        </w:tc>
        <w:tc>
          <w:tcPr>
            <w:tcW w:w="3617" w:type="dxa"/>
            <w:hideMark/>
          </w:tcPr>
          <w:p w14:paraId="6663B636" w14:textId="77777777" w:rsidR="004777CA" w:rsidRPr="004777CA" w:rsidRDefault="004777CA">
            <w:r w:rsidRPr="004777CA">
              <w:t>C002 &amp; C089</w:t>
            </w:r>
          </w:p>
        </w:tc>
        <w:tc>
          <w:tcPr>
            <w:tcW w:w="3618" w:type="dxa"/>
            <w:hideMark/>
          </w:tcPr>
          <w:p w14:paraId="1A5219CD" w14:textId="77777777" w:rsidR="004777CA" w:rsidRPr="004777CA" w:rsidRDefault="004777CA">
            <w:r w:rsidRPr="004777CA">
              <w:t>1</w:t>
            </w:r>
            <w:r w:rsidRPr="004777CA">
              <w:rPr>
                <w:vertAlign w:val="superscript"/>
              </w:rPr>
              <w:t>st</w:t>
            </w:r>
            <w:r w:rsidRPr="004777CA">
              <w:t xml:space="preserve"> Wednesday in April</w:t>
            </w:r>
          </w:p>
        </w:tc>
      </w:tr>
      <w:tr w:rsidR="004777CA" w:rsidRPr="004777CA" w14:paraId="34F5C842" w14:textId="77777777" w:rsidTr="004777CA">
        <w:trPr>
          <w:trHeight w:val="20"/>
        </w:trPr>
        <w:tc>
          <w:tcPr>
            <w:tcW w:w="2605" w:type="dxa"/>
            <w:hideMark/>
          </w:tcPr>
          <w:p w14:paraId="5B140CD1" w14:textId="77777777" w:rsidR="004777CA" w:rsidRPr="004777CA" w:rsidRDefault="004777CA">
            <w:r w:rsidRPr="004777CA">
              <w:t xml:space="preserve">Part B Personnel </w:t>
            </w:r>
          </w:p>
        </w:tc>
        <w:tc>
          <w:tcPr>
            <w:tcW w:w="3617" w:type="dxa"/>
            <w:hideMark/>
          </w:tcPr>
          <w:p w14:paraId="2B3C97E0" w14:textId="77777777" w:rsidR="004777CA" w:rsidRPr="004777CA" w:rsidRDefault="004777CA">
            <w:r w:rsidRPr="004777CA">
              <w:t>C070, C099, C112</w:t>
            </w:r>
          </w:p>
        </w:tc>
        <w:tc>
          <w:tcPr>
            <w:tcW w:w="3618" w:type="dxa"/>
            <w:hideMark/>
          </w:tcPr>
          <w:p w14:paraId="4E9B4012" w14:textId="77777777" w:rsidR="004777CA" w:rsidRPr="004777CA" w:rsidRDefault="004777CA">
            <w:r w:rsidRPr="004777CA">
              <w:t>1</w:t>
            </w:r>
            <w:r w:rsidRPr="004777CA">
              <w:rPr>
                <w:vertAlign w:val="superscript"/>
              </w:rPr>
              <w:t>st</w:t>
            </w:r>
            <w:r w:rsidRPr="004777CA">
              <w:t xml:space="preserve"> Wednesday in November</w:t>
            </w:r>
          </w:p>
        </w:tc>
      </w:tr>
      <w:tr w:rsidR="004777CA" w:rsidRPr="004777CA" w14:paraId="2A4CEB99" w14:textId="77777777" w:rsidTr="004777CA">
        <w:trPr>
          <w:trHeight w:val="20"/>
        </w:trPr>
        <w:tc>
          <w:tcPr>
            <w:tcW w:w="2605" w:type="dxa"/>
            <w:hideMark/>
          </w:tcPr>
          <w:p w14:paraId="54105E06" w14:textId="77777777" w:rsidR="004777CA" w:rsidRPr="004777CA" w:rsidRDefault="004777CA">
            <w:r w:rsidRPr="004777CA">
              <w:t>Part B Exiting</w:t>
            </w:r>
          </w:p>
        </w:tc>
        <w:tc>
          <w:tcPr>
            <w:tcW w:w="3617" w:type="dxa"/>
            <w:hideMark/>
          </w:tcPr>
          <w:p w14:paraId="12F3E20D" w14:textId="77777777" w:rsidR="004777CA" w:rsidRPr="004777CA" w:rsidRDefault="004777CA">
            <w:r w:rsidRPr="004777CA">
              <w:t>C009</w:t>
            </w:r>
          </w:p>
        </w:tc>
        <w:tc>
          <w:tcPr>
            <w:tcW w:w="3618" w:type="dxa"/>
            <w:hideMark/>
          </w:tcPr>
          <w:p w14:paraId="3133C658" w14:textId="77777777" w:rsidR="004777CA" w:rsidRPr="004777CA" w:rsidRDefault="004777CA">
            <w:r w:rsidRPr="004777CA">
              <w:t>1</w:t>
            </w:r>
            <w:r w:rsidRPr="004777CA">
              <w:rPr>
                <w:vertAlign w:val="superscript"/>
              </w:rPr>
              <w:t>st</w:t>
            </w:r>
            <w:r w:rsidRPr="004777CA">
              <w:t xml:space="preserve"> Wednesday in November</w:t>
            </w:r>
          </w:p>
        </w:tc>
      </w:tr>
      <w:tr w:rsidR="004777CA" w:rsidRPr="004777CA" w14:paraId="31D5C68C" w14:textId="77777777" w:rsidTr="004777CA">
        <w:trPr>
          <w:trHeight w:val="20"/>
        </w:trPr>
        <w:tc>
          <w:tcPr>
            <w:tcW w:w="2605" w:type="dxa"/>
            <w:hideMark/>
          </w:tcPr>
          <w:p w14:paraId="63F706F3" w14:textId="77777777" w:rsidR="004777CA" w:rsidRPr="004777CA" w:rsidRDefault="004777CA">
            <w:r w:rsidRPr="004777CA">
              <w:t xml:space="preserve">Part B Discipline </w:t>
            </w:r>
          </w:p>
        </w:tc>
        <w:tc>
          <w:tcPr>
            <w:tcW w:w="3617" w:type="dxa"/>
            <w:hideMark/>
          </w:tcPr>
          <w:p w14:paraId="16D2853A" w14:textId="77777777" w:rsidR="004777CA" w:rsidRPr="004777CA" w:rsidRDefault="004777CA">
            <w:r w:rsidRPr="004777CA">
              <w:t>C005, C006, C007, C088, C143, C144</w:t>
            </w:r>
          </w:p>
        </w:tc>
        <w:tc>
          <w:tcPr>
            <w:tcW w:w="3618" w:type="dxa"/>
            <w:hideMark/>
          </w:tcPr>
          <w:p w14:paraId="254DB998" w14:textId="77777777" w:rsidR="004777CA" w:rsidRPr="004777CA" w:rsidRDefault="004777CA">
            <w:r w:rsidRPr="004777CA">
              <w:t>1</w:t>
            </w:r>
            <w:r w:rsidRPr="004777CA">
              <w:rPr>
                <w:vertAlign w:val="superscript"/>
              </w:rPr>
              <w:t>st</w:t>
            </w:r>
            <w:r w:rsidRPr="004777CA">
              <w:t xml:space="preserve"> Wednesday in November</w:t>
            </w:r>
          </w:p>
        </w:tc>
      </w:tr>
      <w:tr w:rsidR="004777CA" w:rsidRPr="004777CA" w14:paraId="2E5FB44E" w14:textId="77777777" w:rsidTr="004777CA">
        <w:trPr>
          <w:trHeight w:val="20"/>
        </w:trPr>
        <w:tc>
          <w:tcPr>
            <w:tcW w:w="2605" w:type="dxa"/>
            <w:hideMark/>
          </w:tcPr>
          <w:p w14:paraId="712EC9E4" w14:textId="77777777" w:rsidR="004777CA" w:rsidRPr="004777CA" w:rsidRDefault="004777CA">
            <w:r w:rsidRPr="004777CA">
              <w:t>Part B Assessment</w:t>
            </w:r>
          </w:p>
        </w:tc>
        <w:tc>
          <w:tcPr>
            <w:tcW w:w="3617" w:type="dxa"/>
            <w:hideMark/>
          </w:tcPr>
          <w:p w14:paraId="2B041249" w14:textId="77777777" w:rsidR="004777CA" w:rsidRPr="004777CA" w:rsidRDefault="004777CA">
            <w:r w:rsidRPr="004777CA">
              <w:t>C175, C178, C185, C188</w:t>
            </w:r>
          </w:p>
        </w:tc>
        <w:tc>
          <w:tcPr>
            <w:tcW w:w="3618" w:type="dxa"/>
            <w:hideMark/>
          </w:tcPr>
          <w:p w14:paraId="563E4812" w14:textId="77777777" w:rsidR="004777CA" w:rsidRPr="004777CA" w:rsidRDefault="004777CA">
            <w:r w:rsidRPr="004777CA">
              <w:t>Wednesday in the 3</w:t>
            </w:r>
            <w:r w:rsidRPr="004777CA">
              <w:rPr>
                <w:vertAlign w:val="superscript"/>
              </w:rPr>
              <w:t>rd</w:t>
            </w:r>
            <w:r w:rsidRPr="004777CA">
              <w:t xml:space="preserve"> week of December (aligned with CSPR data due date)</w:t>
            </w:r>
          </w:p>
        </w:tc>
      </w:tr>
      <w:tr w:rsidR="004777CA" w:rsidRPr="004777CA" w14:paraId="4C08C198" w14:textId="77777777" w:rsidTr="004777CA">
        <w:trPr>
          <w:trHeight w:val="20"/>
        </w:trPr>
        <w:tc>
          <w:tcPr>
            <w:tcW w:w="2605" w:type="dxa"/>
            <w:hideMark/>
          </w:tcPr>
          <w:p w14:paraId="2894DF0B" w14:textId="77777777" w:rsidR="004777CA" w:rsidRPr="004777CA" w:rsidRDefault="004777CA">
            <w:r w:rsidRPr="004777CA">
              <w:t xml:space="preserve">Part B Dispute Resolution </w:t>
            </w:r>
          </w:p>
        </w:tc>
        <w:tc>
          <w:tcPr>
            <w:tcW w:w="3617" w:type="dxa"/>
            <w:hideMark/>
          </w:tcPr>
          <w:p w14:paraId="723D6024" w14:textId="77777777" w:rsidR="004777CA" w:rsidRPr="004777CA" w:rsidRDefault="004777CA">
            <w:r w:rsidRPr="004777CA">
              <w:t>Part B Dispute Resolution Survey in EMAPS</w:t>
            </w:r>
          </w:p>
        </w:tc>
        <w:tc>
          <w:tcPr>
            <w:tcW w:w="3618" w:type="dxa"/>
            <w:hideMark/>
          </w:tcPr>
          <w:p w14:paraId="379E394B" w14:textId="77777777" w:rsidR="004777CA" w:rsidRPr="004777CA" w:rsidRDefault="004777CA">
            <w:r w:rsidRPr="004777CA">
              <w:t>1</w:t>
            </w:r>
            <w:r w:rsidRPr="004777CA">
              <w:rPr>
                <w:vertAlign w:val="superscript"/>
              </w:rPr>
              <w:t>st</w:t>
            </w:r>
            <w:r w:rsidRPr="004777CA">
              <w:t xml:space="preserve"> Wednesday in November</w:t>
            </w:r>
          </w:p>
        </w:tc>
      </w:tr>
      <w:tr w:rsidR="004777CA" w:rsidRPr="004777CA" w14:paraId="3B69FF00" w14:textId="77777777" w:rsidTr="004777CA">
        <w:trPr>
          <w:trHeight w:val="20"/>
        </w:trPr>
        <w:tc>
          <w:tcPr>
            <w:tcW w:w="2605" w:type="dxa"/>
            <w:hideMark/>
          </w:tcPr>
          <w:p w14:paraId="06F7CBC6" w14:textId="77777777" w:rsidR="004777CA" w:rsidRPr="004777CA" w:rsidRDefault="004777CA">
            <w:r w:rsidRPr="004777CA">
              <w:t>Part B LEA Maintenance of Effort Reduction and Coordinated Early Intervening Services</w:t>
            </w:r>
          </w:p>
        </w:tc>
        <w:tc>
          <w:tcPr>
            <w:tcW w:w="3617" w:type="dxa"/>
            <w:hideMark/>
          </w:tcPr>
          <w:p w14:paraId="6B511F74" w14:textId="77777777" w:rsidR="004777CA" w:rsidRPr="004777CA" w:rsidRDefault="004777CA">
            <w:r w:rsidRPr="004777CA">
              <w:t>Part B MOE Reduction and CEIS Survey in EMAPS</w:t>
            </w:r>
          </w:p>
        </w:tc>
        <w:tc>
          <w:tcPr>
            <w:tcW w:w="3618" w:type="dxa"/>
            <w:hideMark/>
          </w:tcPr>
          <w:p w14:paraId="22308BA5" w14:textId="77777777" w:rsidR="004777CA" w:rsidRPr="004777CA" w:rsidRDefault="004777CA">
            <w:r w:rsidRPr="004777CA">
              <w:t>1</w:t>
            </w:r>
            <w:r w:rsidRPr="004777CA">
              <w:rPr>
                <w:vertAlign w:val="superscript"/>
              </w:rPr>
              <w:t>st</w:t>
            </w:r>
            <w:r w:rsidRPr="004777CA">
              <w:t xml:space="preserve"> Wednesday in May</w:t>
            </w:r>
          </w:p>
        </w:tc>
      </w:tr>
    </w:tbl>
    <w:p w14:paraId="52ACECA5" w14:textId="77777777" w:rsidR="004777CA" w:rsidRDefault="004777CA" w:rsidP="004777CA"/>
    <w:p w14:paraId="4EFF5866" w14:textId="4128FE84" w:rsidR="004777CA" w:rsidRPr="008A41E6" w:rsidRDefault="004777CA" w:rsidP="004777CA">
      <w:pPr>
        <w:rPr>
          <w:b/>
          <w:bCs/>
        </w:rPr>
      </w:pPr>
      <w:r w:rsidRPr="008A41E6">
        <w:rPr>
          <w:b/>
          <w:bCs/>
        </w:rPr>
        <w:t>2) Complete Data</w:t>
      </w:r>
      <w:r w:rsidRPr="008A41E6">
        <w:t xml:space="preserve"> – </w:t>
      </w:r>
      <w:r w:rsidRPr="004777CA">
        <w:t>A State will receive one point if it submits data for all files, permitted values, category sets, subtotals, and totals associated with a specific data collection by the initial due date. No data is reported as missing. No placeholder data is submitted. The data submitted to EDFacts aligns with the metadata survey responses provided by the state in the State Supplemental Survey IDEA (SSS IDEA) and Assessment Metadata survey in EMAPS.  State-level data include data from all districts or agencies</w:t>
      </w:r>
      <w:r w:rsidRPr="008A41E6">
        <w:t>.</w:t>
      </w:r>
    </w:p>
    <w:p w14:paraId="34EF2576" w14:textId="77777777" w:rsidR="004777CA" w:rsidRDefault="004777CA" w:rsidP="004777CA"/>
    <w:p w14:paraId="557CE2A1" w14:textId="5CB8EF22" w:rsidR="004777CA" w:rsidRPr="008A41E6" w:rsidRDefault="004777CA" w:rsidP="004777CA">
      <w:pPr>
        <w:rPr>
          <w:b/>
          <w:bCs/>
        </w:rPr>
      </w:pPr>
      <w:r w:rsidRPr="008A41E6">
        <w:rPr>
          <w:b/>
          <w:bCs/>
        </w:rPr>
        <w:t xml:space="preserve">3) Passed Edit Check – </w:t>
      </w:r>
      <w:r w:rsidRPr="008A41E6">
        <w:t xml:space="preserve">A State will receive one point if it submits data that meets all the edit checks related to the specific data collection by the initial due date. The counts included in 618 data submissions are internally consistent within a data collection </w:t>
      </w:r>
    </w:p>
    <w:p w14:paraId="330F0E42" w14:textId="3DBADBBF" w:rsidR="004777CA" w:rsidRDefault="004777CA">
      <w:pPr>
        <w:spacing w:before="0" w:after="200" w:line="276" w:lineRule="auto"/>
      </w:pPr>
      <w:r>
        <w:br w:type="page"/>
      </w:r>
    </w:p>
    <w:p w14:paraId="66EA6C1B" w14:textId="3AB83F96" w:rsidR="0058254D" w:rsidRDefault="0058254D" w:rsidP="0058254D">
      <w:pPr>
        <w:pStyle w:val="Heading2"/>
      </w:pPr>
      <w:r>
        <w:t>Dispute Resolution</w:t>
      </w:r>
    </w:p>
    <w:p w14:paraId="10BA59E7" w14:textId="5817B082" w:rsidR="0058254D" w:rsidRDefault="0058254D">
      <w:pPr>
        <w:spacing w:before="0" w:after="200" w:line="276" w:lineRule="auto"/>
      </w:pPr>
      <w:r>
        <w:br w:type="page"/>
      </w:r>
    </w:p>
    <w:p w14:paraId="1EB6A9F6" w14:textId="77777777" w:rsidR="00085B13" w:rsidRDefault="00085B13" w:rsidP="00085B13">
      <w:pPr>
        <w:pStyle w:val="Heading2"/>
      </w:pPr>
      <w:r>
        <w:t>How the Department Made Determinations</w:t>
      </w:r>
    </w:p>
    <w:p w14:paraId="0972CDF2" w14:textId="77777777" w:rsidR="00085B13" w:rsidRPr="00D733C3" w:rsidRDefault="00085B13" w:rsidP="00085B13">
      <w:pPr>
        <w:rPr>
          <w:szCs w:val="16"/>
        </w:rPr>
      </w:pPr>
    </w:p>
    <w:p w14:paraId="778689CC" w14:textId="16576A1E" w:rsidR="00DF3F83" w:rsidRPr="00D733C3" w:rsidRDefault="00DF3F83" w:rsidP="00DF3F83">
      <w:pPr>
        <w:rPr>
          <w:rFonts w:cs="Arial"/>
          <w:szCs w:val="16"/>
        </w:rPr>
      </w:pPr>
      <w:r w:rsidRPr="00D733C3">
        <w:rPr>
          <w:rFonts w:cs="Arial"/>
          <w:szCs w:val="16"/>
        </w:rPr>
        <w:t>Below is the location of How the Department Made Determinations (HTDMD) on OSEP’s IDEA Website.  How the Department Made Determinations in 2023 will be posted in June 2023. Copy and paste the link below into a browser to view.</w:t>
      </w:r>
    </w:p>
    <w:p w14:paraId="7F614999" w14:textId="77777777" w:rsidR="00DF3F83" w:rsidRPr="00D733C3" w:rsidRDefault="00DF3F83" w:rsidP="00DF3F83">
      <w:pPr>
        <w:pStyle w:val="BodyText"/>
        <w:spacing w:before="7"/>
        <w:rPr>
          <w:rFonts w:ascii="Arial" w:eastAsia="Calibri" w:hAnsi="Arial" w:cs="Arial"/>
          <w:sz w:val="16"/>
          <w:szCs w:val="16"/>
        </w:rPr>
      </w:pPr>
    </w:p>
    <w:p w14:paraId="05B81CB3" w14:textId="1ABD70E5" w:rsidR="00D84A0A" w:rsidRPr="00D733C3" w:rsidRDefault="00537C6B">
      <w:pPr>
        <w:spacing w:before="0" w:after="200" w:line="276" w:lineRule="auto"/>
        <w:rPr>
          <w:rFonts w:cs="Arial"/>
          <w:b/>
          <w:bCs/>
          <w:szCs w:val="16"/>
        </w:rPr>
      </w:pPr>
      <w:hyperlink r:id="rId12" w:history="1">
        <w:r w:rsidR="00DF3F83" w:rsidRPr="00D733C3">
          <w:rPr>
            <w:rStyle w:val="Hyperlink"/>
            <w:szCs w:val="16"/>
          </w:rPr>
          <w:t>https://sites.ed.gov/idea/how-the-department-made-determinations/</w:t>
        </w:r>
      </w:hyperlink>
      <w:bookmarkStart w:id="94" w:name="Introduction"/>
      <w:bookmarkStart w:id="95" w:name="_Hlk124349373"/>
      <w:bookmarkEnd w:id="3"/>
      <w:bookmarkEnd w:id="94"/>
      <w:bookmarkEnd w:id="95"/>
    </w:p>
    <w:sectPr w:rsidR="00D84A0A" w:rsidRPr="00D733C3" w:rsidSect="00D733C3">
      <w:headerReference w:type="default" r:id="rId13"/>
      <w:footerReference w:type="default" r:id="rId14"/>
      <w:pgSz w:w="12240" w:h="15840"/>
      <w:pgMar w:top="720" w:right="720" w:bottom="720" w:left="720" w:header="763" w:footer="431"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FDE5" w14:textId="77777777" w:rsidR="00D80788" w:rsidRDefault="00D80788" w:rsidP="000802F7">
      <w:pPr>
        <w:spacing w:before="0" w:after="0"/>
      </w:pPr>
      <w:r>
        <w:separator/>
      </w:r>
    </w:p>
  </w:endnote>
  <w:endnote w:type="continuationSeparator" w:id="0">
    <w:p w14:paraId="42C8B182" w14:textId="77777777" w:rsidR="00D80788" w:rsidRDefault="00D80788" w:rsidP="000802F7">
      <w:pPr>
        <w:spacing w:before="0" w:after="0"/>
      </w:pPr>
      <w:r>
        <w:continuationSeparator/>
      </w:r>
    </w:p>
  </w:endnote>
  <w:endnote w:type="continuationNotice" w:id="1">
    <w:p w14:paraId="68B27A1E" w14:textId="77777777" w:rsidR="00D80788" w:rsidRDefault="00D8078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032885"/>
      <w:docPartObj>
        <w:docPartGallery w:val="Page Numbers (Bottom of Page)"/>
        <w:docPartUnique/>
      </w:docPartObj>
    </w:sdtPr>
    <w:sdtEndPr>
      <w:rPr>
        <w:noProof/>
      </w:rPr>
    </w:sdtEndPr>
    <w:sdtContent>
      <w:sdt>
        <w:sdtPr>
          <w:id w:val="1521194661"/>
          <w:docPartObj>
            <w:docPartGallery w:val="Page Numbers (Bottom of Page)"/>
            <w:docPartUnique/>
          </w:docPartObj>
        </w:sdtPr>
        <w:sdtEndPr>
          <w:rPr>
            <w:noProof/>
          </w:rPr>
        </w:sdtEndPr>
        <w:sdtContent>
          <w:p w14:paraId="6320AF27" w14:textId="07F84AA5" w:rsidR="0031327B" w:rsidRDefault="00D733C3"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1BC23CDB" w14:textId="366F33BD" w:rsidR="001D7FB4" w:rsidRDefault="00537C6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7125" w14:textId="77777777" w:rsidR="00D80788" w:rsidRDefault="00D80788" w:rsidP="000802F7">
      <w:pPr>
        <w:spacing w:before="0" w:after="0"/>
      </w:pPr>
      <w:r>
        <w:separator/>
      </w:r>
    </w:p>
  </w:footnote>
  <w:footnote w:type="continuationSeparator" w:id="0">
    <w:p w14:paraId="0A99F633" w14:textId="77777777" w:rsidR="00D80788" w:rsidRDefault="00D80788" w:rsidP="000802F7">
      <w:pPr>
        <w:spacing w:before="0" w:after="0"/>
      </w:pPr>
      <w:r>
        <w:continuationSeparator/>
      </w:r>
    </w:p>
  </w:footnote>
  <w:footnote w:type="continuationNotice" w:id="1">
    <w:p w14:paraId="7EF2A229" w14:textId="77777777" w:rsidR="00D80788" w:rsidRDefault="00D80788">
      <w:pPr>
        <w:spacing w:before="0" w:after="0"/>
      </w:pPr>
    </w:p>
  </w:footnote>
  <w:footnote w:id="2">
    <w:p w14:paraId="0FAB7C8D" w14:textId="77777777" w:rsidR="00BE0EEF" w:rsidRPr="006A44D8" w:rsidRDefault="00BE0EEF" w:rsidP="00BE0EEF">
      <w:pPr>
        <w:pStyle w:val="FootnoteText"/>
        <w:spacing w:after="60"/>
        <w:ind w:left="180" w:hanging="180"/>
        <w:rPr>
          <w:sz w:val="16"/>
          <w:szCs w:val="16"/>
        </w:rPr>
      </w:pPr>
      <w:r w:rsidRPr="006A44D8">
        <w:rPr>
          <w:rStyle w:val="FootnoteReference"/>
          <w:sz w:val="16"/>
          <w:szCs w:val="16"/>
        </w:rPr>
        <w:footnoteRef/>
      </w:r>
      <w:r w:rsidRPr="006A44D8">
        <w:rPr>
          <w:sz w:val="16"/>
          <w:szCs w:val="16"/>
        </w:rPr>
        <w:t xml:space="preserve"> For a detailed explanation of how the Compliance Score, Results Score, and the Results-Driven Accountability Percentage and Determination were calculated, review "How the Department Made Determinations under Section 616(d) of the </w:t>
      </w:r>
      <w:r w:rsidRPr="006A44D8">
        <w:rPr>
          <w:i/>
          <w:sz w:val="16"/>
          <w:szCs w:val="16"/>
        </w:rPr>
        <w:t>Individuals with Disabilities Education Act</w:t>
      </w:r>
      <w:r w:rsidRPr="006A44D8">
        <w:rPr>
          <w:sz w:val="16"/>
          <w:szCs w:val="16"/>
        </w:rPr>
        <w:t xml:space="preserve"> in 2023: Part B."</w:t>
      </w:r>
    </w:p>
  </w:footnote>
  <w:footnote w:id="3">
    <w:p w14:paraId="69421760" w14:textId="77777777" w:rsidR="00BE0EEF" w:rsidRPr="006A44D8" w:rsidRDefault="00BE0EEF" w:rsidP="00BE0EEF">
      <w:pPr>
        <w:pStyle w:val="FootnoteText"/>
        <w:spacing w:after="60"/>
        <w:ind w:left="180" w:hanging="180"/>
        <w:rPr>
          <w:sz w:val="16"/>
          <w:szCs w:val="16"/>
        </w:rPr>
      </w:pPr>
      <w:r w:rsidRPr="006A44D8">
        <w:rPr>
          <w:rStyle w:val="FootnoteReference"/>
          <w:sz w:val="16"/>
          <w:szCs w:val="16"/>
        </w:rPr>
        <w:footnoteRef/>
      </w:r>
      <w:r w:rsidRPr="006A44D8">
        <w:rPr>
          <w:sz w:val="16"/>
          <w:szCs w:val="16"/>
        </w:rPr>
        <w:t xml:space="preserve"> The complete language for each indicator is located in the Part B SPP/APR Indicator Measurement Table at: </w:t>
      </w:r>
      <w:hyperlink w:history="1"/>
      <w:hyperlink r:id="rId1" w:history="1">
        <w:r w:rsidRPr="006A44D8">
          <w:rPr>
            <w:rStyle w:val="Hyperlink"/>
            <w:sz w:val="16"/>
            <w:szCs w:val="16"/>
          </w:rPr>
          <w:t>https://sites.ed.gov/idea/files/2023_Part-B_SPP-APR_Measurement_Table.pdf</w:t>
        </w:r>
      </w:hyperlink>
      <w:r w:rsidRPr="006A44D8">
        <w:rPr>
          <w:sz w:val="16"/>
          <w:szCs w:val="16"/>
        </w:rPr>
        <w:t xml:space="preserve"> </w:t>
      </w:r>
      <w:hyperlink w:history="1"/>
    </w:p>
  </w:footnote>
  <w:footnote w:id="4">
    <w:p w14:paraId="69EC7855" w14:textId="1293BFE6" w:rsidR="00A47134" w:rsidRDefault="00A47134" w:rsidP="00A47134">
      <w:r>
        <w:rPr>
          <w:rStyle w:val="FootnoteReference"/>
        </w:rPr>
        <w:footnoteRef/>
      </w:r>
      <w:r>
        <w:t xml:space="preserve"> </w:t>
      </w:r>
      <w:r w:rsidR="00E211BF" w:rsidRPr="00606A3B">
        <w:rPr>
          <w:rFonts w:eastAsia="Times New Roman" w:cs="Arial"/>
          <w:szCs w:val="16"/>
        </w:rPr>
        <w:t>In the SPP</w:t>
      </w:r>
      <w:r w:rsidR="001A4886">
        <w:rPr>
          <w:rFonts w:eastAsia="Times New Roman" w:cs="Arial"/>
          <w:szCs w:val="16"/>
        </w:rPr>
        <w:t>/</w:t>
      </w:r>
      <w:r w:rsidR="00E211BF" w:rsidRPr="00606A3B">
        <w:rPr>
          <w:rFonts w:eastAsia="Times New Roman" w:cs="Arial"/>
          <w:szCs w:val="16"/>
        </w:rPr>
        <w:t>APR Data table, where there is an N/A in the Valid and Reliable column, the Total column will display a 0. This is a change from prior years in display only; all calculation</w:t>
      </w:r>
      <w:r w:rsidR="001A4886">
        <w:rPr>
          <w:rFonts w:eastAsia="Times New Roman" w:cs="Arial"/>
          <w:szCs w:val="16"/>
        </w:rPr>
        <w:t xml:space="preserve"> methods</w:t>
      </w:r>
      <w:r w:rsidR="00E211BF" w:rsidRPr="00606A3B">
        <w:rPr>
          <w:rFonts w:eastAsia="Times New Roman" w:cs="Arial"/>
          <w:szCs w:val="16"/>
        </w:rPr>
        <w:t xml:space="preserve"> are unchanged. An N/A does not </w:t>
      </w:r>
      <w:r w:rsidR="001A4886">
        <w:rPr>
          <w:rFonts w:eastAsia="Times New Roman" w:cs="Arial"/>
          <w:szCs w:val="16"/>
        </w:rPr>
        <w:t xml:space="preserve">negatively affect </w:t>
      </w:r>
      <w:r w:rsidR="00E211BF" w:rsidRPr="00606A3B">
        <w:rPr>
          <w:rFonts w:eastAsia="Times New Roman" w:cs="Arial"/>
          <w:szCs w:val="16"/>
        </w:rPr>
        <w:t xml:space="preserve">a </w:t>
      </w:r>
      <w:r w:rsidR="00E211BF" w:rsidRPr="00606A3B">
        <w:rPr>
          <w:rFonts w:eastAsia="Times New Roman" w:cs="Arial"/>
          <w:szCs w:val="16"/>
        </w:rPr>
        <w:t>State's score</w:t>
      </w:r>
      <w:r w:rsidR="001A4886">
        <w:rPr>
          <w:rFonts w:eastAsia="Times New Roman" w:cs="Arial"/>
          <w:szCs w:val="16"/>
        </w:rPr>
        <w:t xml:space="preserve">; this is because </w:t>
      </w:r>
      <w:r w:rsidR="00B128EE">
        <w:rPr>
          <w:rFonts w:eastAsia="Times New Roman" w:cs="Arial"/>
          <w:szCs w:val="16"/>
        </w:rPr>
        <w:t>1</w:t>
      </w:r>
      <w:r w:rsidR="00E211BF" w:rsidRPr="00606A3B">
        <w:rPr>
          <w:rFonts w:eastAsia="Times New Roman" w:cs="Arial"/>
          <w:szCs w:val="16"/>
        </w:rPr>
        <w:t xml:space="preserve"> point</w:t>
      </w:r>
      <w:r w:rsidR="00B128EE">
        <w:rPr>
          <w:rFonts w:eastAsia="Times New Roman" w:cs="Arial"/>
          <w:szCs w:val="16"/>
        </w:rPr>
        <w:t xml:space="preserve"> is</w:t>
      </w:r>
      <w:r w:rsidR="00E211BF" w:rsidRPr="00606A3B">
        <w:rPr>
          <w:rFonts w:eastAsia="Times New Roman" w:cs="Arial"/>
          <w:szCs w:val="16"/>
        </w:rPr>
        <w:t xml:space="preserve"> subtracted from the </w:t>
      </w:r>
      <w:r w:rsidR="00B128EE">
        <w:rPr>
          <w:rFonts w:eastAsia="Times New Roman" w:cs="Arial"/>
          <w:szCs w:val="16"/>
        </w:rPr>
        <w:t>Denominator</w:t>
      </w:r>
      <w:r w:rsidR="00E211BF" w:rsidRPr="00606A3B">
        <w:rPr>
          <w:rFonts w:eastAsia="Times New Roman" w:cs="Arial"/>
          <w:szCs w:val="16"/>
        </w:rPr>
        <w:t xml:space="preserve"> in the Indicator Calculation table</w:t>
      </w:r>
      <w:r w:rsidR="00B128EE">
        <w:rPr>
          <w:rFonts w:eastAsia="Times New Roman" w:cs="Arial"/>
          <w:szCs w:val="16"/>
        </w:rPr>
        <w:t xml:space="preserve"> for each cell marked as N/A in the SPP/APR Data table</w:t>
      </w:r>
      <w:r w:rsidR="00E211BF" w:rsidRPr="00606A3B">
        <w:rPr>
          <w:rFonts w:eastAsia="Times New Roman" w:cs="Arial"/>
          <w:szCs w:val="16"/>
        </w:rPr>
        <w:t>.</w:t>
      </w:r>
    </w:p>
  </w:footnote>
  <w:footnote w:id="5">
    <w:p w14:paraId="3461A050" w14:textId="023C8A0B" w:rsidR="002F6CB6" w:rsidRPr="008D0CC6" w:rsidRDefault="002F6CB6">
      <w:pPr>
        <w:pStyle w:val="FootnoteText"/>
        <w:rPr>
          <w:sz w:val="16"/>
          <w:szCs w:val="16"/>
        </w:rPr>
      </w:pPr>
      <w:r w:rsidRPr="008D0CC6">
        <w:rPr>
          <w:rStyle w:val="FootnoteReference"/>
          <w:sz w:val="16"/>
          <w:szCs w:val="16"/>
        </w:rPr>
        <w:footnoteRef/>
      </w:r>
      <w:r w:rsidRPr="008D0CC6">
        <w:rPr>
          <w:sz w:val="16"/>
          <w:szCs w:val="16"/>
        </w:rPr>
        <w:t xml:space="preserve"> </w:t>
      </w:r>
      <w:r w:rsidR="008D0CC6" w:rsidRPr="008D0CC6">
        <w:rPr>
          <w:color w:val="000000" w:themeColor="text1"/>
          <w:sz w:val="16"/>
          <w:szCs w:val="16"/>
        </w:rPr>
        <w:t>In the 618 Data table, when calculating the value in the Total column, any N/As in the Timely, Complete Data, or Passed Edit Checks columns are treated as a ‘0’. An N/A does not negatively affect a State's score; this is because 1.23809524 points is subtracted from the Denominator in the Indicator Calculation table for each cell marked as N/A in the 618 Data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827F" w14:textId="1332B1B2" w:rsidR="001D7FB4" w:rsidRDefault="00537C6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4" type="#_x0000_t75" style="width:19.65pt;height:18.65pt;visibility:visible;mso-wrap-style:square" o:bullet="t">
        <v:imagedata r:id="rId1" o:title="" croptop="12526f" cropbottom="7411f" cropleft="12045f" cropright="6359f"/>
      </v:shape>
    </w:pict>
  </w:numPicBullet>
  <w:abstractNum w:abstractNumId="0" w15:restartNumberingAfterBreak="0">
    <w:nsid w:val="012F2171"/>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3A50F6C"/>
    <w:multiLevelType w:val="hybridMultilevel"/>
    <w:tmpl w:val="CA52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F3472"/>
    <w:multiLevelType w:val="hybridMultilevel"/>
    <w:tmpl w:val="5290C0FE"/>
    <w:lvl w:ilvl="0" w:tplc="55762074">
      <w:start w:val="1"/>
      <w:numFmt w:val="decimal"/>
      <w:lvlText w:val="%1."/>
      <w:lvlJc w:val="left"/>
      <w:pPr>
        <w:ind w:left="860" w:hanging="361"/>
      </w:pPr>
      <w:rPr>
        <w:rFonts w:ascii="Carlito" w:eastAsia="Carlito" w:hAnsi="Carlito" w:cs="Carlito" w:hint="default"/>
        <w:w w:val="99"/>
        <w:sz w:val="22"/>
        <w:szCs w:val="22"/>
        <w:lang w:val="en-US" w:eastAsia="en-US" w:bidi="ar-SA"/>
      </w:rPr>
    </w:lvl>
    <w:lvl w:ilvl="1" w:tplc="514EAF34">
      <w:start w:val="1"/>
      <w:numFmt w:val="upperLetter"/>
      <w:lvlText w:val="%2."/>
      <w:lvlJc w:val="left"/>
      <w:pPr>
        <w:ind w:left="860" w:hanging="361"/>
      </w:pPr>
      <w:rPr>
        <w:rFonts w:ascii="Carlito" w:eastAsia="Carlito" w:hAnsi="Carlito" w:cs="Carlito" w:hint="default"/>
        <w:w w:val="99"/>
        <w:sz w:val="22"/>
        <w:szCs w:val="22"/>
        <w:lang w:val="en-US" w:eastAsia="en-US" w:bidi="ar-SA"/>
      </w:rPr>
    </w:lvl>
    <w:lvl w:ilvl="2" w:tplc="F8240EC6">
      <w:numFmt w:val="bullet"/>
      <w:lvlText w:val="•"/>
      <w:lvlJc w:val="left"/>
      <w:pPr>
        <w:ind w:left="2656" w:hanging="361"/>
      </w:pPr>
      <w:rPr>
        <w:lang w:val="en-US" w:eastAsia="en-US" w:bidi="ar-SA"/>
      </w:rPr>
    </w:lvl>
    <w:lvl w:ilvl="3" w:tplc="1FCE6D00">
      <w:numFmt w:val="bullet"/>
      <w:lvlText w:val="•"/>
      <w:lvlJc w:val="left"/>
      <w:pPr>
        <w:ind w:left="3554" w:hanging="361"/>
      </w:pPr>
      <w:rPr>
        <w:lang w:val="en-US" w:eastAsia="en-US" w:bidi="ar-SA"/>
      </w:rPr>
    </w:lvl>
    <w:lvl w:ilvl="4" w:tplc="233E8912">
      <w:numFmt w:val="bullet"/>
      <w:lvlText w:val="•"/>
      <w:lvlJc w:val="left"/>
      <w:pPr>
        <w:ind w:left="4452" w:hanging="361"/>
      </w:pPr>
      <w:rPr>
        <w:lang w:val="en-US" w:eastAsia="en-US" w:bidi="ar-SA"/>
      </w:rPr>
    </w:lvl>
    <w:lvl w:ilvl="5" w:tplc="D8AE35CC">
      <w:numFmt w:val="bullet"/>
      <w:lvlText w:val="•"/>
      <w:lvlJc w:val="left"/>
      <w:pPr>
        <w:ind w:left="5350" w:hanging="361"/>
      </w:pPr>
      <w:rPr>
        <w:lang w:val="en-US" w:eastAsia="en-US" w:bidi="ar-SA"/>
      </w:rPr>
    </w:lvl>
    <w:lvl w:ilvl="6" w:tplc="54B86F70">
      <w:numFmt w:val="bullet"/>
      <w:lvlText w:val="•"/>
      <w:lvlJc w:val="left"/>
      <w:pPr>
        <w:ind w:left="6248" w:hanging="361"/>
      </w:pPr>
      <w:rPr>
        <w:lang w:val="en-US" w:eastAsia="en-US" w:bidi="ar-SA"/>
      </w:rPr>
    </w:lvl>
    <w:lvl w:ilvl="7" w:tplc="A5925B48">
      <w:numFmt w:val="bullet"/>
      <w:lvlText w:val="•"/>
      <w:lvlJc w:val="left"/>
      <w:pPr>
        <w:ind w:left="7146" w:hanging="361"/>
      </w:pPr>
      <w:rPr>
        <w:lang w:val="en-US" w:eastAsia="en-US" w:bidi="ar-SA"/>
      </w:rPr>
    </w:lvl>
    <w:lvl w:ilvl="8" w:tplc="55BEABBE">
      <w:numFmt w:val="bullet"/>
      <w:lvlText w:val="•"/>
      <w:lvlJc w:val="left"/>
      <w:pPr>
        <w:ind w:left="8044" w:hanging="361"/>
      </w:pPr>
      <w:rPr>
        <w:lang w:val="en-US" w:eastAsia="en-US" w:bidi="ar-SA"/>
      </w:rPr>
    </w:lvl>
  </w:abstractNum>
  <w:abstractNum w:abstractNumId="3" w15:restartNumberingAfterBreak="0">
    <w:nsid w:val="076B4729"/>
    <w:multiLevelType w:val="hybridMultilevel"/>
    <w:tmpl w:val="68CE2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D3DFE"/>
    <w:multiLevelType w:val="hybridMultilevel"/>
    <w:tmpl w:val="DDFED6E0"/>
    <w:lvl w:ilvl="0" w:tplc="F2B480D0">
      <w:numFmt w:val="bullet"/>
      <w:lvlText w:val=""/>
      <w:lvlJc w:val="left"/>
      <w:pPr>
        <w:ind w:left="499" w:hanging="360"/>
      </w:pPr>
      <w:rPr>
        <w:rFonts w:ascii="Symbol" w:eastAsia="Symbol" w:hAnsi="Symbol" w:cs="Symbol" w:hint="default"/>
        <w:w w:val="99"/>
        <w:sz w:val="22"/>
        <w:szCs w:val="22"/>
        <w:lang w:val="en-US" w:eastAsia="en-US" w:bidi="ar-SA"/>
      </w:rPr>
    </w:lvl>
    <w:lvl w:ilvl="1" w:tplc="39C23E46">
      <w:numFmt w:val="bullet"/>
      <w:lvlText w:val="o"/>
      <w:lvlJc w:val="left"/>
      <w:pPr>
        <w:ind w:left="1580" w:hanging="360"/>
      </w:pPr>
      <w:rPr>
        <w:rFonts w:ascii="Courier New" w:eastAsia="Courier New" w:hAnsi="Courier New" w:cs="Courier New" w:hint="default"/>
        <w:w w:val="99"/>
        <w:sz w:val="22"/>
        <w:szCs w:val="22"/>
        <w:lang w:val="en-US" w:eastAsia="en-US" w:bidi="ar-SA"/>
      </w:rPr>
    </w:lvl>
    <w:lvl w:ilvl="2" w:tplc="7988CC3E">
      <w:numFmt w:val="bullet"/>
      <w:lvlText w:val="•"/>
      <w:lvlJc w:val="left"/>
      <w:pPr>
        <w:ind w:left="2497" w:hanging="360"/>
      </w:pPr>
      <w:rPr>
        <w:lang w:val="en-US" w:eastAsia="en-US" w:bidi="ar-SA"/>
      </w:rPr>
    </w:lvl>
    <w:lvl w:ilvl="3" w:tplc="157C9A1E">
      <w:numFmt w:val="bullet"/>
      <w:lvlText w:val="•"/>
      <w:lvlJc w:val="left"/>
      <w:pPr>
        <w:ind w:left="3415" w:hanging="360"/>
      </w:pPr>
      <w:rPr>
        <w:lang w:val="en-US" w:eastAsia="en-US" w:bidi="ar-SA"/>
      </w:rPr>
    </w:lvl>
    <w:lvl w:ilvl="4" w:tplc="EE6E9182">
      <w:numFmt w:val="bullet"/>
      <w:lvlText w:val="•"/>
      <w:lvlJc w:val="left"/>
      <w:pPr>
        <w:ind w:left="4333" w:hanging="360"/>
      </w:pPr>
      <w:rPr>
        <w:lang w:val="en-US" w:eastAsia="en-US" w:bidi="ar-SA"/>
      </w:rPr>
    </w:lvl>
    <w:lvl w:ilvl="5" w:tplc="95382E14">
      <w:numFmt w:val="bullet"/>
      <w:lvlText w:val="•"/>
      <w:lvlJc w:val="left"/>
      <w:pPr>
        <w:ind w:left="5251" w:hanging="360"/>
      </w:pPr>
      <w:rPr>
        <w:lang w:val="en-US" w:eastAsia="en-US" w:bidi="ar-SA"/>
      </w:rPr>
    </w:lvl>
    <w:lvl w:ilvl="6" w:tplc="FA040B58">
      <w:numFmt w:val="bullet"/>
      <w:lvlText w:val="•"/>
      <w:lvlJc w:val="left"/>
      <w:pPr>
        <w:ind w:left="6168" w:hanging="360"/>
      </w:pPr>
      <w:rPr>
        <w:lang w:val="en-US" w:eastAsia="en-US" w:bidi="ar-SA"/>
      </w:rPr>
    </w:lvl>
    <w:lvl w:ilvl="7" w:tplc="9DFA0308">
      <w:numFmt w:val="bullet"/>
      <w:lvlText w:val="•"/>
      <w:lvlJc w:val="left"/>
      <w:pPr>
        <w:ind w:left="7086" w:hanging="360"/>
      </w:pPr>
      <w:rPr>
        <w:lang w:val="en-US" w:eastAsia="en-US" w:bidi="ar-SA"/>
      </w:rPr>
    </w:lvl>
    <w:lvl w:ilvl="8" w:tplc="918632DA">
      <w:numFmt w:val="bullet"/>
      <w:lvlText w:val="•"/>
      <w:lvlJc w:val="left"/>
      <w:pPr>
        <w:ind w:left="8004" w:hanging="360"/>
      </w:pPr>
      <w:rPr>
        <w:lang w:val="en-US" w:eastAsia="en-US" w:bidi="ar-SA"/>
      </w:rPr>
    </w:lvl>
  </w:abstractNum>
  <w:abstractNum w:abstractNumId="5" w15:restartNumberingAfterBreak="0">
    <w:nsid w:val="0B044BCE"/>
    <w:multiLevelType w:val="hybridMultilevel"/>
    <w:tmpl w:val="BB88F2CE"/>
    <w:lvl w:ilvl="0" w:tplc="4FDC1474">
      <w:numFmt w:val="bullet"/>
      <w:lvlText w:val=""/>
      <w:lvlJc w:val="left"/>
      <w:pPr>
        <w:ind w:left="860" w:hanging="361"/>
      </w:pPr>
      <w:rPr>
        <w:rFonts w:ascii="Symbol" w:eastAsia="Symbol" w:hAnsi="Symbol" w:cs="Symbol" w:hint="default"/>
        <w:w w:val="100"/>
        <w:sz w:val="22"/>
        <w:szCs w:val="22"/>
        <w:lang w:val="en-US" w:eastAsia="en-US" w:bidi="ar-SA"/>
      </w:rPr>
    </w:lvl>
    <w:lvl w:ilvl="1" w:tplc="F6D6F56C">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2" w:tplc="D278D728">
      <w:numFmt w:val="bullet"/>
      <w:lvlText w:val="•"/>
      <w:lvlJc w:val="left"/>
      <w:pPr>
        <w:ind w:left="2497" w:hanging="361"/>
      </w:pPr>
      <w:rPr>
        <w:rFonts w:hint="default"/>
        <w:lang w:val="en-US" w:eastAsia="en-US" w:bidi="ar-SA"/>
      </w:rPr>
    </w:lvl>
    <w:lvl w:ilvl="3" w:tplc="C6E03824">
      <w:numFmt w:val="bullet"/>
      <w:lvlText w:val="•"/>
      <w:lvlJc w:val="left"/>
      <w:pPr>
        <w:ind w:left="3415" w:hanging="361"/>
      </w:pPr>
      <w:rPr>
        <w:rFonts w:hint="default"/>
        <w:lang w:val="en-US" w:eastAsia="en-US" w:bidi="ar-SA"/>
      </w:rPr>
    </w:lvl>
    <w:lvl w:ilvl="4" w:tplc="145E9780">
      <w:numFmt w:val="bullet"/>
      <w:lvlText w:val="•"/>
      <w:lvlJc w:val="left"/>
      <w:pPr>
        <w:ind w:left="4333" w:hanging="361"/>
      </w:pPr>
      <w:rPr>
        <w:rFonts w:hint="default"/>
        <w:lang w:val="en-US" w:eastAsia="en-US" w:bidi="ar-SA"/>
      </w:rPr>
    </w:lvl>
    <w:lvl w:ilvl="5" w:tplc="B63E0F6A">
      <w:numFmt w:val="bullet"/>
      <w:lvlText w:val="•"/>
      <w:lvlJc w:val="left"/>
      <w:pPr>
        <w:ind w:left="5251" w:hanging="361"/>
      </w:pPr>
      <w:rPr>
        <w:rFonts w:hint="default"/>
        <w:lang w:val="en-US" w:eastAsia="en-US" w:bidi="ar-SA"/>
      </w:rPr>
    </w:lvl>
    <w:lvl w:ilvl="6" w:tplc="D7383934">
      <w:numFmt w:val="bullet"/>
      <w:lvlText w:val="•"/>
      <w:lvlJc w:val="left"/>
      <w:pPr>
        <w:ind w:left="6168" w:hanging="361"/>
      </w:pPr>
      <w:rPr>
        <w:rFonts w:hint="default"/>
        <w:lang w:val="en-US" w:eastAsia="en-US" w:bidi="ar-SA"/>
      </w:rPr>
    </w:lvl>
    <w:lvl w:ilvl="7" w:tplc="09B4A024">
      <w:numFmt w:val="bullet"/>
      <w:lvlText w:val="•"/>
      <w:lvlJc w:val="left"/>
      <w:pPr>
        <w:ind w:left="7086" w:hanging="361"/>
      </w:pPr>
      <w:rPr>
        <w:rFonts w:hint="default"/>
        <w:lang w:val="en-US" w:eastAsia="en-US" w:bidi="ar-SA"/>
      </w:rPr>
    </w:lvl>
    <w:lvl w:ilvl="8" w:tplc="FBB2A392">
      <w:numFmt w:val="bullet"/>
      <w:lvlText w:val="•"/>
      <w:lvlJc w:val="left"/>
      <w:pPr>
        <w:ind w:left="8004" w:hanging="361"/>
      </w:pPr>
      <w:rPr>
        <w:rFonts w:hint="default"/>
        <w:lang w:val="en-US" w:eastAsia="en-US" w:bidi="ar-SA"/>
      </w:rPr>
    </w:lvl>
  </w:abstractNum>
  <w:abstractNum w:abstractNumId="6" w15:restartNumberingAfterBreak="0">
    <w:nsid w:val="0BEC0439"/>
    <w:multiLevelType w:val="hybridMultilevel"/>
    <w:tmpl w:val="7334ED46"/>
    <w:lvl w:ilvl="0" w:tplc="3C90AAF8">
      <w:numFmt w:val="bullet"/>
      <w:lvlText w:val=""/>
      <w:lvlJc w:val="left"/>
      <w:pPr>
        <w:ind w:left="859" w:hanging="360"/>
      </w:pPr>
      <w:rPr>
        <w:rFonts w:ascii="Symbol" w:eastAsia="Symbol" w:hAnsi="Symbol" w:cs="Symbol" w:hint="default"/>
        <w:w w:val="99"/>
        <w:sz w:val="22"/>
        <w:szCs w:val="22"/>
        <w:lang w:val="en-US" w:eastAsia="en-US" w:bidi="ar-SA"/>
      </w:rPr>
    </w:lvl>
    <w:lvl w:ilvl="1" w:tplc="78B8A010">
      <w:numFmt w:val="bullet"/>
      <w:lvlText w:val="o"/>
      <w:lvlJc w:val="left"/>
      <w:pPr>
        <w:ind w:left="1579" w:hanging="360"/>
      </w:pPr>
      <w:rPr>
        <w:rFonts w:ascii="Courier New" w:eastAsia="Courier New" w:hAnsi="Courier New" w:cs="Courier New" w:hint="default"/>
        <w:w w:val="99"/>
        <w:sz w:val="22"/>
        <w:szCs w:val="22"/>
        <w:lang w:val="en-US" w:eastAsia="en-US" w:bidi="ar-SA"/>
      </w:rPr>
    </w:lvl>
    <w:lvl w:ilvl="2" w:tplc="EF4CC438">
      <w:numFmt w:val="bullet"/>
      <w:lvlText w:val="•"/>
      <w:lvlJc w:val="left"/>
      <w:pPr>
        <w:ind w:left="2497" w:hanging="360"/>
      </w:pPr>
      <w:rPr>
        <w:rFonts w:hint="default"/>
        <w:lang w:val="en-US" w:eastAsia="en-US" w:bidi="ar-SA"/>
      </w:rPr>
    </w:lvl>
    <w:lvl w:ilvl="3" w:tplc="39B2EA60">
      <w:numFmt w:val="bullet"/>
      <w:lvlText w:val="•"/>
      <w:lvlJc w:val="left"/>
      <w:pPr>
        <w:ind w:left="3415" w:hanging="360"/>
      </w:pPr>
      <w:rPr>
        <w:rFonts w:hint="default"/>
        <w:lang w:val="en-US" w:eastAsia="en-US" w:bidi="ar-SA"/>
      </w:rPr>
    </w:lvl>
    <w:lvl w:ilvl="4" w:tplc="112E53A6">
      <w:numFmt w:val="bullet"/>
      <w:lvlText w:val="•"/>
      <w:lvlJc w:val="left"/>
      <w:pPr>
        <w:ind w:left="4333" w:hanging="360"/>
      </w:pPr>
      <w:rPr>
        <w:rFonts w:hint="default"/>
        <w:lang w:val="en-US" w:eastAsia="en-US" w:bidi="ar-SA"/>
      </w:rPr>
    </w:lvl>
    <w:lvl w:ilvl="5" w:tplc="8D022A3C">
      <w:numFmt w:val="bullet"/>
      <w:lvlText w:val="•"/>
      <w:lvlJc w:val="left"/>
      <w:pPr>
        <w:ind w:left="5251" w:hanging="360"/>
      </w:pPr>
      <w:rPr>
        <w:rFonts w:hint="default"/>
        <w:lang w:val="en-US" w:eastAsia="en-US" w:bidi="ar-SA"/>
      </w:rPr>
    </w:lvl>
    <w:lvl w:ilvl="6" w:tplc="C95A155E">
      <w:numFmt w:val="bullet"/>
      <w:lvlText w:val="•"/>
      <w:lvlJc w:val="left"/>
      <w:pPr>
        <w:ind w:left="6168" w:hanging="360"/>
      </w:pPr>
      <w:rPr>
        <w:rFonts w:hint="default"/>
        <w:lang w:val="en-US" w:eastAsia="en-US" w:bidi="ar-SA"/>
      </w:rPr>
    </w:lvl>
    <w:lvl w:ilvl="7" w:tplc="0456CE5C">
      <w:numFmt w:val="bullet"/>
      <w:lvlText w:val="•"/>
      <w:lvlJc w:val="left"/>
      <w:pPr>
        <w:ind w:left="7086" w:hanging="360"/>
      </w:pPr>
      <w:rPr>
        <w:rFonts w:hint="default"/>
        <w:lang w:val="en-US" w:eastAsia="en-US" w:bidi="ar-SA"/>
      </w:rPr>
    </w:lvl>
    <w:lvl w:ilvl="8" w:tplc="4574FE88">
      <w:numFmt w:val="bullet"/>
      <w:lvlText w:val="•"/>
      <w:lvlJc w:val="left"/>
      <w:pPr>
        <w:ind w:left="8004" w:hanging="360"/>
      </w:pPr>
      <w:rPr>
        <w:rFonts w:hint="default"/>
        <w:lang w:val="en-US" w:eastAsia="en-US" w:bidi="ar-SA"/>
      </w:rPr>
    </w:lvl>
  </w:abstractNum>
  <w:abstractNum w:abstractNumId="7" w15:restartNumberingAfterBreak="0">
    <w:nsid w:val="0CEF5964"/>
    <w:multiLevelType w:val="hybridMultilevel"/>
    <w:tmpl w:val="2A9267FE"/>
    <w:lvl w:ilvl="0" w:tplc="58288740">
      <w:start w:val="202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C351A"/>
    <w:multiLevelType w:val="hybridMultilevel"/>
    <w:tmpl w:val="D6C27D6E"/>
    <w:lvl w:ilvl="0" w:tplc="635C29EC">
      <w:numFmt w:val="bullet"/>
      <w:lvlText w:val=""/>
      <w:lvlJc w:val="left"/>
      <w:pPr>
        <w:ind w:left="499" w:hanging="361"/>
      </w:pPr>
      <w:rPr>
        <w:rFonts w:ascii="Symbol" w:eastAsia="Symbol" w:hAnsi="Symbol" w:cs="Symbol" w:hint="default"/>
        <w:w w:val="100"/>
        <w:sz w:val="22"/>
        <w:szCs w:val="22"/>
        <w:lang w:val="en-US" w:eastAsia="en-US" w:bidi="ar-SA"/>
      </w:rPr>
    </w:lvl>
    <w:lvl w:ilvl="1" w:tplc="B9BAA71A">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2" w:tplc="0CDA82C6">
      <w:numFmt w:val="bullet"/>
      <w:lvlText w:val="•"/>
      <w:lvlJc w:val="left"/>
      <w:pPr>
        <w:ind w:left="2497" w:hanging="361"/>
      </w:pPr>
      <w:rPr>
        <w:rFonts w:hint="default"/>
        <w:lang w:val="en-US" w:eastAsia="en-US" w:bidi="ar-SA"/>
      </w:rPr>
    </w:lvl>
    <w:lvl w:ilvl="3" w:tplc="6DF61572">
      <w:numFmt w:val="bullet"/>
      <w:lvlText w:val="•"/>
      <w:lvlJc w:val="left"/>
      <w:pPr>
        <w:ind w:left="3415" w:hanging="361"/>
      </w:pPr>
      <w:rPr>
        <w:rFonts w:hint="default"/>
        <w:lang w:val="en-US" w:eastAsia="en-US" w:bidi="ar-SA"/>
      </w:rPr>
    </w:lvl>
    <w:lvl w:ilvl="4" w:tplc="252A2D00">
      <w:numFmt w:val="bullet"/>
      <w:lvlText w:val="•"/>
      <w:lvlJc w:val="left"/>
      <w:pPr>
        <w:ind w:left="4333" w:hanging="361"/>
      </w:pPr>
      <w:rPr>
        <w:rFonts w:hint="default"/>
        <w:lang w:val="en-US" w:eastAsia="en-US" w:bidi="ar-SA"/>
      </w:rPr>
    </w:lvl>
    <w:lvl w:ilvl="5" w:tplc="D06E9DEA">
      <w:numFmt w:val="bullet"/>
      <w:lvlText w:val="•"/>
      <w:lvlJc w:val="left"/>
      <w:pPr>
        <w:ind w:left="5251" w:hanging="361"/>
      </w:pPr>
      <w:rPr>
        <w:rFonts w:hint="default"/>
        <w:lang w:val="en-US" w:eastAsia="en-US" w:bidi="ar-SA"/>
      </w:rPr>
    </w:lvl>
    <w:lvl w:ilvl="6" w:tplc="B1D24916">
      <w:numFmt w:val="bullet"/>
      <w:lvlText w:val="•"/>
      <w:lvlJc w:val="left"/>
      <w:pPr>
        <w:ind w:left="6168" w:hanging="361"/>
      </w:pPr>
      <w:rPr>
        <w:rFonts w:hint="default"/>
        <w:lang w:val="en-US" w:eastAsia="en-US" w:bidi="ar-SA"/>
      </w:rPr>
    </w:lvl>
    <w:lvl w:ilvl="7" w:tplc="5AD62662">
      <w:numFmt w:val="bullet"/>
      <w:lvlText w:val="•"/>
      <w:lvlJc w:val="left"/>
      <w:pPr>
        <w:ind w:left="7086" w:hanging="361"/>
      </w:pPr>
      <w:rPr>
        <w:rFonts w:hint="default"/>
        <w:lang w:val="en-US" w:eastAsia="en-US" w:bidi="ar-SA"/>
      </w:rPr>
    </w:lvl>
    <w:lvl w:ilvl="8" w:tplc="E6E0B090">
      <w:numFmt w:val="bullet"/>
      <w:lvlText w:val="•"/>
      <w:lvlJc w:val="left"/>
      <w:pPr>
        <w:ind w:left="8004" w:hanging="361"/>
      </w:pPr>
      <w:rPr>
        <w:rFonts w:hint="default"/>
        <w:lang w:val="en-US" w:eastAsia="en-US" w:bidi="ar-SA"/>
      </w:rPr>
    </w:lvl>
  </w:abstractNum>
  <w:abstractNum w:abstractNumId="9" w15:restartNumberingAfterBreak="0">
    <w:nsid w:val="172E62E4"/>
    <w:multiLevelType w:val="hybridMultilevel"/>
    <w:tmpl w:val="D1B0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47843"/>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D2E1335"/>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4C60406"/>
    <w:multiLevelType w:val="hybridMultilevel"/>
    <w:tmpl w:val="2F4E2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B59"/>
    <w:multiLevelType w:val="hybridMultilevel"/>
    <w:tmpl w:val="B670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D63E3"/>
    <w:multiLevelType w:val="hybridMultilevel"/>
    <w:tmpl w:val="9EF24676"/>
    <w:lvl w:ilvl="0" w:tplc="7526AB70">
      <w:start w:val="1"/>
      <w:numFmt w:val="upperLetter"/>
      <w:lvlText w:val="%1."/>
      <w:lvlJc w:val="left"/>
      <w:pPr>
        <w:ind w:left="533" w:hanging="394"/>
      </w:pPr>
      <w:rPr>
        <w:b/>
        <w:bCs/>
        <w:spacing w:val="0"/>
        <w:w w:val="99"/>
        <w:lang w:val="en-US" w:eastAsia="en-US" w:bidi="ar-SA"/>
      </w:rPr>
    </w:lvl>
    <w:lvl w:ilvl="1" w:tplc="91C0033A">
      <w:start w:val="1"/>
      <w:numFmt w:val="decimal"/>
      <w:lvlText w:val="%2."/>
      <w:lvlJc w:val="left"/>
      <w:pPr>
        <w:ind w:left="859" w:hanging="361"/>
      </w:pPr>
      <w:rPr>
        <w:rFonts w:ascii="Carlito" w:eastAsia="Carlito" w:hAnsi="Carlito" w:cs="Carlito" w:hint="default"/>
        <w:w w:val="99"/>
        <w:sz w:val="22"/>
        <w:szCs w:val="22"/>
        <w:lang w:val="en-US" w:eastAsia="en-US" w:bidi="ar-SA"/>
      </w:rPr>
    </w:lvl>
    <w:lvl w:ilvl="2" w:tplc="4B5EDCC0">
      <w:start w:val="1"/>
      <w:numFmt w:val="lowerLetter"/>
      <w:lvlText w:val="%3."/>
      <w:lvlJc w:val="left"/>
      <w:pPr>
        <w:ind w:left="1579" w:hanging="360"/>
      </w:pPr>
      <w:rPr>
        <w:rFonts w:ascii="Carlito" w:eastAsia="Carlito" w:hAnsi="Carlito" w:cs="Carlito" w:hint="default"/>
        <w:w w:val="99"/>
        <w:sz w:val="22"/>
        <w:szCs w:val="22"/>
        <w:lang w:val="en-US" w:eastAsia="en-US" w:bidi="ar-SA"/>
      </w:rPr>
    </w:lvl>
    <w:lvl w:ilvl="3" w:tplc="4F0282DA">
      <w:numFmt w:val="bullet"/>
      <w:lvlText w:val="•"/>
      <w:lvlJc w:val="left"/>
      <w:pPr>
        <w:ind w:left="2612" w:hanging="360"/>
      </w:pPr>
      <w:rPr>
        <w:lang w:val="en-US" w:eastAsia="en-US" w:bidi="ar-SA"/>
      </w:rPr>
    </w:lvl>
    <w:lvl w:ilvl="4" w:tplc="69FA0BD8">
      <w:numFmt w:val="bullet"/>
      <w:lvlText w:val="•"/>
      <w:lvlJc w:val="left"/>
      <w:pPr>
        <w:ind w:left="3645" w:hanging="360"/>
      </w:pPr>
      <w:rPr>
        <w:lang w:val="en-US" w:eastAsia="en-US" w:bidi="ar-SA"/>
      </w:rPr>
    </w:lvl>
    <w:lvl w:ilvl="5" w:tplc="DB5E5F14">
      <w:numFmt w:val="bullet"/>
      <w:lvlText w:val="•"/>
      <w:lvlJc w:val="left"/>
      <w:pPr>
        <w:ind w:left="4677" w:hanging="360"/>
      </w:pPr>
      <w:rPr>
        <w:lang w:val="en-US" w:eastAsia="en-US" w:bidi="ar-SA"/>
      </w:rPr>
    </w:lvl>
    <w:lvl w:ilvl="6" w:tplc="E856B4E2">
      <w:numFmt w:val="bullet"/>
      <w:lvlText w:val="•"/>
      <w:lvlJc w:val="left"/>
      <w:pPr>
        <w:ind w:left="5710" w:hanging="360"/>
      </w:pPr>
      <w:rPr>
        <w:lang w:val="en-US" w:eastAsia="en-US" w:bidi="ar-SA"/>
      </w:rPr>
    </w:lvl>
    <w:lvl w:ilvl="7" w:tplc="F4A649F0">
      <w:numFmt w:val="bullet"/>
      <w:lvlText w:val="•"/>
      <w:lvlJc w:val="left"/>
      <w:pPr>
        <w:ind w:left="6742" w:hanging="360"/>
      </w:pPr>
      <w:rPr>
        <w:lang w:val="en-US" w:eastAsia="en-US" w:bidi="ar-SA"/>
      </w:rPr>
    </w:lvl>
    <w:lvl w:ilvl="8" w:tplc="FF5ACA50">
      <w:numFmt w:val="bullet"/>
      <w:lvlText w:val="•"/>
      <w:lvlJc w:val="left"/>
      <w:pPr>
        <w:ind w:left="7775" w:hanging="360"/>
      </w:pPr>
      <w:rPr>
        <w:lang w:val="en-US" w:eastAsia="en-US" w:bidi="ar-SA"/>
      </w:rPr>
    </w:lvl>
  </w:abstractNum>
  <w:abstractNum w:abstractNumId="15" w15:restartNumberingAfterBreak="0">
    <w:nsid w:val="27866BC4"/>
    <w:multiLevelType w:val="multilevel"/>
    <w:tmpl w:val="3634C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F91235"/>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31641"/>
    <w:multiLevelType w:val="hybridMultilevel"/>
    <w:tmpl w:val="D1B0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07332"/>
    <w:multiLevelType w:val="multilevel"/>
    <w:tmpl w:val="3634C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BCF3704"/>
    <w:multiLevelType w:val="multilevel"/>
    <w:tmpl w:val="93EC58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3CD44695"/>
    <w:multiLevelType w:val="hybridMultilevel"/>
    <w:tmpl w:val="29645F12"/>
    <w:lvl w:ilvl="0" w:tplc="C44E5CE4">
      <w:start w:val="1"/>
      <w:numFmt w:val="upperLetter"/>
      <w:lvlText w:val="%1."/>
      <w:lvlJc w:val="left"/>
      <w:pPr>
        <w:ind w:left="396" w:hanging="396"/>
      </w:pPr>
      <w:rPr>
        <w:rFonts w:hint="default"/>
        <w:b/>
        <w:bCs/>
        <w:spacing w:val="0"/>
        <w:w w:val="100"/>
        <w:u w:val="thick" w:color="8DB3E1"/>
        <w:lang w:val="en-US" w:eastAsia="en-US" w:bidi="ar-SA"/>
      </w:rPr>
    </w:lvl>
    <w:lvl w:ilvl="1" w:tplc="F6E44378">
      <w:start w:val="1"/>
      <w:numFmt w:val="decimal"/>
      <w:lvlText w:val="%2."/>
      <w:lvlJc w:val="left"/>
      <w:pPr>
        <w:ind w:left="720" w:hanging="361"/>
      </w:pPr>
      <w:rPr>
        <w:rFonts w:ascii="Calibri" w:eastAsia="Calibri" w:hAnsi="Calibri" w:cs="Calibri" w:hint="default"/>
        <w:w w:val="100"/>
        <w:sz w:val="22"/>
        <w:szCs w:val="22"/>
        <w:lang w:val="en-US" w:eastAsia="en-US" w:bidi="ar-SA"/>
      </w:rPr>
    </w:lvl>
    <w:lvl w:ilvl="2" w:tplc="C6DEA85E">
      <w:start w:val="1"/>
      <w:numFmt w:val="lowerLetter"/>
      <w:lvlText w:val="%3."/>
      <w:lvlJc w:val="left"/>
      <w:pPr>
        <w:ind w:left="1440" w:hanging="360"/>
      </w:pPr>
      <w:rPr>
        <w:rFonts w:ascii="Calibri" w:eastAsia="Calibri" w:hAnsi="Calibri" w:cs="Calibri" w:hint="default"/>
        <w:spacing w:val="-1"/>
        <w:w w:val="100"/>
        <w:sz w:val="22"/>
        <w:szCs w:val="22"/>
        <w:lang w:val="en-US" w:eastAsia="en-US" w:bidi="ar-SA"/>
      </w:rPr>
    </w:lvl>
    <w:lvl w:ilvl="3" w:tplc="8ACAFBEC">
      <w:numFmt w:val="bullet"/>
      <w:lvlText w:val="•"/>
      <w:lvlJc w:val="left"/>
      <w:pPr>
        <w:ind w:left="2472" w:hanging="360"/>
      </w:pPr>
      <w:rPr>
        <w:rFonts w:hint="default"/>
        <w:lang w:val="en-US" w:eastAsia="en-US" w:bidi="ar-SA"/>
      </w:rPr>
    </w:lvl>
    <w:lvl w:ilvl="4" w:tplc="148C8D60">
      <w:numFmt w:val="bullet"/>
      <w:lvlText w:val="•"/>
      <w:lvlJc w:val="left"/>
      <w:pPr>
        <w:ind w:left="3505" w:hanging="360"/>
      </w:pPr>
      <w:rPr>
        <w:rFonts w:hint="default"/>
        <w:lang w:val="en-US" w:eastAsia="en-US" w:bidi="ar-SA"/>
      </w:rPr>
    </w:lvl>
    <w:lvl w:ilvl="5" w:tplc="3BC2DDC4">
      <w:numFmt w:val="bullet"/>
      <w:lvlText w:val="•"/>
      <w:lvlJc w:val="left"/>
      <w:pPr>
        <w:ind w:left="4537" w:hanging="360"/>
      </w:pPr>
      <w:rPr>
        <w:rFonts w:hint="default"/>
        <w:lang w:val="en-US" w:eastAsia="en-US" w:bidi="ar-SA"/>
      </w:rPr>
    </w:lvl>
    <w:lvl w:ilvl="6" w:tplc="49DE61CA">
      <w:numFmt w:val="bullet"/>
      <w:lvlText w:val="•"/>
      <w:lvlJc w:val="left"/>
      <w:pPr>
        <w:ind w:left="5570" w:hanging="360"/>
      </w:pPr>
      <w:rPr>
        <w:rFonts w:hint="default"/>
        <w:lang w:val="en-US" w:eastAsia="en-US" w:bidi="ar-SA"/>
      </w:rPr>
    </w:lvl>
    <w:lvl w:ilvl="7" w:tplc="1A988D48">
      <w:numFmt w:val="bullet"/>
      <w:lvlText w:val="•"/>
      <w:lvlJc w:val="left"/>
      <w:pPr>
        <w:ind w:left="6602" w:hanging="360"/>
      </w:pPr>
      <w:rPr>
        <w:rFonts w:hint="default"/>
        <w:lang w:val="en-US" w:eastAsia="en-US" w:bidi="ar-SA"/>
      </w:rPr>
    </w:lvl>
    <w:lvl w:ilvl="8" w:tplc="87182062">
      <w:numFmt w:val="bullet"/>
      <w:lvlText w:val="•"/>
      <w:lvlJc w:val="left"/>
      <w:pPr>
        <w:ind w:left="7635" w:hanging="360"/>
      </w:pPr>
      <w:rPr>
        <w:rFonts w:hint="default"/>
        <w:lang w:val="en-US" w:eastAsia="en-US" w:bidi="ar-SA"/>
      </w:rPr>
    </w:lvl>
  </w:abstractNum>
  <w:abstractNum w:abstractNumId="22" w15:restartNumberingAfterBreak="0">
    <w:nsid w:val="422844CA"/>
    <w:multiLevelType w:val="hybridMultilevel"/>
    <w:tmpl w:val="3D0C4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113B8"/>
    <w:multiLevelType w:val="multilevel"/>
    <w:tmpl w:val="EE5E2F2A"/>
    <w:lvl w:ilvl="0">
      <w:start w:val="1"/>
      <w:numFmt w:val="decimal"/>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32395"/>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3242C"/>
    <w:multiLevelType w:val="hybridMultilevel"/>
    <w:tmpl w:val="D6F2A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33383"/>
    <w:multiLevelType w:val="hybridMultilevel"/>
    <w:tmpl w:val="AA7AB7BA"/>
    <w:lvl w:ilvl="0" w:tplc="FF866FC8">
      <w:start w:val="1"/>
      <w:numFmt w:val="upperLetter"/>
      <w:lvlText w:val="%1."/>
      <w:lvlJc w:val="left"/>
      <w:pPr>
        <w:ind w:left="6334" w:hanging="394"/>
      </w:pPr>
      <w:rPr>
        <w:rFonts w:hint="default"/>
        <w:b/>
        <w:bCs/>
        <w:spacing w:val="0"/>
        <w:w w:val="100"/>
        <w:lang w:val="en-US" w:eastAsia="en-US" w:bidi="ar-SA"/>
      </w:rPr>
    </w:lvl>
    <w:lvl w:ilvl="1" w:tplc="EE5E3D98">
      <w:start w:val="1"/>
      <w:numFmt w:val="decimal"/>
      <w:lvlText w:val="%2."/>
      <w:lvlJc w:val="left"/>
      <w:pPr>
        <w:ind w:left="859" w:hanging="361"/>
      </w:pPr>
      <w:rPr>
        <w:rFonts w:ascii="Calibri" w:eastAsia="Calibri" w:hAnsi="Calibri" w:cs="Calibri" w:hint="default"/>
        <w:w w:val="99"/>
        <w:sz w:val="22"/>
        <w:szCs w:val="22"/>
        <w:lang w:val="en-US" w:eastAsia="en-US" w:bidi="ar-SA"/>
      </w:rPr>
    </w:lvl>
    <w:lvl w:ilvl="2" w:tplc="509CE212">
      <w:start w:val="1"/>
      <w:numFmt w:val="lowerLetter"/>
      <w:lvlText w:val="%3."/>
      <w:lvlJc w:val="left"/>
      <w:pPr>
        <w:ind w:left="1579" w:hanging="360"/>
      </w:pPr>
      <w:rPr>
        <w:rFonts w:ascii="Calibri" w:eastAsia="Calibri" w:hAnsi="Calibri" w:cs="Calibri" w:hint="default"/>
        <w:w w:val="99"/>
        <w:sz w:val="22"/>
        <w:szCs w:val="22"/>
        <w:lang w:val="en-US" w:eastAsia="en-US" w:bidi="ar-SA"/>
      </w:rPr>
    </w:lvl>
    <w:lvl w:ilvl="3" w:tplc="731EE7A2">
      <w:numFmt w:val="bullet"/>
      <w:lvlText w:val="•"/>
      <w:lvlJc w:val="left"/>
      <w:pPr>
        <w:ind w:left="2612" w:hanging="360"/>
      </w:pPr>
      <w:rPr>
        <w:rFonts w:hint="default"/>
        <w:lang w:val="en-US" w:eastAsia="en-US" w:bidi="ar-SA"/>
      </w:rPr>
    </w:lvl>
    <w:lvl w:ilvl="4" w:tplc="F10E61C2">
      <w:numFmt w:val="bullet"/>
      <w:lvlText w:val="•"/>
      <w:lvlJc w:val="left"/>
      <w:pPr>
        <w:ind w:left="3645" w:hanging="360"/>
      </w:pPr>
      <w:rPr>
        <w:rFonts w:hint="default"/>
        <w:lang w:val="en-US" w:eastAsia="en-US" w:bidi="ar-SA"/>
      </w:rPr>
    </w:lvl>
    <w:lvl w:ilvl="5" w:tplc="D19E483A">
      <w:numFmt w:val="bullet"/>
      <w:lvlText w:val="•"/>
      <w:lvlJc w:val="left"/>
      <w:pPr>
        <w:ind w:left="4677" w:hanging="360"/>
      </w:pPr>
      <w:rPr>
        <w:rFonts w:hint="default"/>
        <w:lang w:val="en-US" w:eastAsia="en-US" w:bidi="ar-SA"/>
      </w:rPr>
    </w:lvl>
    <w:lvl w:ilvl="6" w:tplc="26BC49AE">
      <w:numFmt w:val="bullet"/>
      <w:lvlText w:val="•"/>
      <w:lvlJc w:val="left"/>
      <w:pPr>
        <w:ind w:left="5710" w:hanging="360"/>
      </w:pPr>
      <w:rPr>
        <w:rFonts w:hint="default"/>
        <w:lang w:val="en-US" w:eastAsia="en-US" w:bidi="ar-SA"/>
      </w:rPr>
    </w:lvl>
    <w:lvl w:ilvl="7" w:tplc="036A7A34">
      <w:numFmt w:val="bullet"/>
      <w:lvlText w:val="•"/>
      <w:lvlJc w:val="left"/>
      <w:pPr>
        <w:ind w:left="6742" w:hanging="360"/>
      </w:pPr>
      <w:rPr>
        <w:rFonts w:hint="default"/>
        <w:lang w:val="en-US" w:eastAsia="en-US" w:bidi="ar-SA"/>
      </w:rPr>
    </w:lvl>
    <w:lvl w:ilvl="8" w:tplc="BA2482A6">
      <w:numFmt w:val="bullet"/>
      <w:lvlText w:val="•"/>
      <w:lvlJc w:val="left"/>
      <w:pPr>
        <w:ind w:left="7775" w:hanging="360"/>
      </w:pPr>
      <w:rPr>
        <w:rFonts w:hint="default"/>
        <w:lang w:val="en-US" w:eastAsia="en-US" w:bidi="ar-SA"/>
      </w:rPr>
    </w:lvl>
  </w:abstractNum>
  <w:abstractNum w:abstractNumId="27" w15:restartNumberingAfterBreak="0">
    <w:nsid w:val="59A85AED"/>
    <w:multiLevelType w:val="hybridMultilevel"/>
    <w:tmpl w:val="E1AE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A645C8"/>
    <w:multiLevelType w:val="multilevel"/>
    <w:tmpl w:val="A770E2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CCB21CF"/>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933857"/>
    <w:multiLevelType w:val="hybridMultilevel"/>
    <w:tmpl w:val="82743DA0"/>
    <w:lvl w:ilvl="0" w:tplc="7FE4F5A6">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954AB752">
      <w:start w:val="1"/>
      <w:numFmt w:val="upperLetter"/>
      <w:lvlText w:val="%2."/>
      <w:lvlJc w:val="left"/>
      <w:pPr>
        <w:ind w:left="860" w:hanging="360"/>
      </w:pPr>
      <w:rPr>
        <w:rFonts w:ascii="Arial" w:eastAsia="Calibri" w:hAnsi="Arial" w:cs="Arial" w:hint="default"/>
        <w:spacing w:val="-1"/>
        <w:w w:val="100"/>
        <w:sz w:val="18"/>
        <w:szCs w:val="18"/>
        <w:lang w:val="en-US" w:eastAsia="en-US" w:bidi="ar-SA"/>
      </w:rPr>
    </w:lvl>
    <w:lvl w:ilvl="2" w:tplc="54CA4BF6">
      <w:numFmt w:val="bullet"/>
      <w:lvlText w:val="•"/>
      <w:lvlJc w:val="left"/>
      <w:pPr>
        <w:ind w:left="2656" w:hanging="360"/>
      </w:pPr>
      <w:rPr>
        <w:rFonts w:hint="default"/>
        <w:lang w:val="en-US" w:eastAsia="en-US" w:bidi="ar-SA"/>
      </w:rPr>
    </w:lvl>
    <w:lvl w:ilvl="3" w:tplc="88A0DB74">
      <w:numFmt w:val="bullet"/>
      <w:lvlText w:val="•"/>
      <w:lvlJc w:val="left"/>
      <w:pPr>
        <w:ind w:left="3554" w:hanging="360"/>
      </w:pPr>
      <w:rPr>
        <w:rFonts w:hint="default"/>
        <w:lang w:val="en-US" w:eastAsia="en-US" w:bidi="ar-SA"/>
      </w:rPr>
    </w:lvl>
    <w:lvl w:ilvl="4" w:tplc="90CC68A8">
      <w:numFmt w:val="bullet"/>
      <w:lvlText w:val="•"/>
      <w:lvlJc w:val="left"/>
      <w:pPr>
        <w:ind w:left="4452" w:hanging="360"/>
      </w:pPr>
      <w:rPr>
        <w:rFonts w:hint="default"/>
        <w:lang w:val="en-US" w:eastAsia="en-US" w:bidi="ar-SA"/>
      </w:rPr>
    </w:lvl>
    <w:lvl w:ilvl="5" w:tplc="51F466D0">
      <w:numFmt w:val="bullet"/>
      <w:lvlText w:val="•"/>
      <w:lvlJc w:val="left"/>
      <w:pPr>
        <w:ind w:left="5350" w:hanging="360"/>
      </w:pPr>
      <w:rPr>
        <w:rFonts w:hint="default"/>
        <w:lang w:val="en-US" w:eastAsia="en-US" w:bidi="ar-SA"/>
      </w:rPr>
    </w:lvl>
    <w:lvl w:ilvl="6" w:tplc="C5723108">
      <w:numFmt w:val="bullet"/>
      <w:lvlText w:val="•"/>
      <w:lvlJc w:val="left"/>
      <w:pPr>
        <w:ind w:left="6248" w:hanging="360"/>
      </w:pPr>
      <w:rPr>
        <w:rFonts w:hint="default"/>
        <w:lang w:val="en-US" w:eastAsia="en-US" w:bidi="ar-SA"/>
      </w:rPr>
    </w:lvl>
    <w:lvl w:ilvl="7" w:tplc="8ED867B8">
      <w:numFmt w:val="bullet"/>
      <w:lvlText w:val="•"/>
      <w:lvlJc w:val="left"/>
      <w:pPr>
        <w:ind w:left="7146" w:hanging="360"/>
      </w:pPr>
      <w:rPr>
        <w:rFonts w:hint="default"/>
        <w:lang w:val="en-US" w:eastAsia="en-US" w:bidi="ar-SA"/>
      </w:rPr>
    </w:lvl>
    <w:lvl w:ilvl="8" w:tplc="5FA24DCC">
      <w:numFmt w:val="bullet"/>
      <w:lvlText w:val="•"/>
      <w:lvlJc w:val="left"/>
      <w:pPr>
        <w:ind w:left="8044" w:hanging="360"/>
      </w:pPr>
      <w:rPr>
        <w:rFonts w:hint="default"/>
        <w:lang w:val="en-US" w:eastAsia="en-US" w:bidi="ar-SA"/>
      </w:rPr>
    </w:lvl>
  </w:abstractNum>
  <w:abstractNum w:abstractNumId="31" w15:restartNumberingAfterBreak="0">
    <w:nsid w:val="60B97688"/>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1720CB8"/>
    <w:multiLevelType w:val="hybridMultilevel"/>
    <w:tmpl w:val="53D0D426"/>
    <w:lvl w:ilvl="0" w:tplc="5F9A0240">
      <w:start w:val="1"/>
      <w:numFmt w:val="decimal"/>
      <w:lvlText w:val="%1."/>
      <w:lvlJc w:val="left"/>
      <w:pPr>
        <w:ind w:left="860" w:hanging="361"/>
      </w:pPr>
      <w:rPr>
        <w:rFonts w:ascii="Calibri" w:eastAsia="Calibri" w:hAnsi="Calibri" w:cs="Calibri" w:hint="default"/>
        <w:w w:val="99"/>
        <w:sz w:val="22"/>
        <w:szCs w:val="22"/>
        <w:lang w:val="en-US" w:eastAsia="en-US" w:bidi="ar-SA"/>
      </w:rPr>
    </w:lvl>
    <w:lvl w:ilvl="1" w:tplc="89608756">
      <w:start w:val="1"/>
      <w:numFmt w:val="upperLetter"/>
      <w:lvlText w:val="%2."/>
      <w:lvlJc w:val="left"/>
      <w:pPr>
        <w:ind w:left="860" w:hanging="361"/>
      </w:pPr>
      <w:rPr>
        <w:rFonts w:ascii="Calibri" w:eastAsia="Calibri" w:hAnsi="Calibri" w:cs="Calibri" w:hint="default"/>
        <w:w w:val="99"/>
        <w:sz w:val="22"/>
        <w:szCs w:val="22"/>
        <w:lang w:val="en-US" w:eastAsia="en-US" w:bidi="ar-SA"/>
      </w:rPr>
    </w:lvl>
    <w:lvl w:ilvl="2" w:tplc="8620EC3C">
      <w:numFmt w:val="bullet"/>
      <w:lvlText w:val="•"/>
      <w:lvlJc w:val="left"/>
      <w:pPr>
        <w:ind w:left="2656" w:hanging="361"/>
      </w:pPr>
      <w:rPr>
        <w:rFonts w:hint="default"/>
        <w:lang w:val="en-US" w:eastAsia="en-US" w:bidi="ar-SA"/>
      </w:rPr>
    </w:lvl>
    <w:lvl w:ilvl="3" w:tplc="3856BFF0">
      <w:numFmt w:val="bullet"/>
      <w:lvlText w:val="•"/>
      <w:lvlJc w:val="left"/>
      <w:pPr>
        <w:ind w:left="3554" w:hanging="361"/>
      </w:pPr>
      <w:rPr>
        <w:rFonts w:hint="default"/>
        <w:lang w:val="en-US" w:eastAsia="en-US" w:bidi="ar-SA"/>
      </w:rPr>
    </w:lvl>
    <w:lvl w:ilvl="4" w:tplc="FCF4AB62">
      <w:numFmt w:val="bullet"/>
      <w:lvlText w:val="•"/>
      <w:lvlJc w:val="left"/>
      <w:pPr>
        <w:ind w:left="4452" w:hanging="361"/>
      </w:pPr>
      <w:rPr>
        <w:rFonts w:hint="default"/>
        <w:lang w:val="en-US" w:eastAsia="en-US" w:bidi="ar-SA"/>
      </w:rPr>
    </w:lvl>
    <w:lvl w:ilvl="5" w:tplc="47D2D63E">
      <w:numFmt w:val="bullet"/>
      <w:lvlText w:val="•"/>
      <w:lvlJc w:val="left"/>
      <w:pPr>
        <w:ind w:left="5350" w:hanging="361"/>
      </w:pPr>
      <w:rPr>
        <w:rFonts w:hint="default"/>
        <w:lang w:val="en-US" w:eastAsia="en-US" w:bidi="ar-SA"/>
      </w:rPr>
    </w:lvl>
    <w:lvl w:ilvl="6" w:tplc="9E62B584">
      <w:numFmt w:val="bullet"/>
      <w:lvlText w:val="•"/>
      <w:lvlJc w:val="left"/>
      <w:pPr>
        <w:ind w:left="6248" w:hanging="361"/>
      </w:pPr>
      <w:rPr>
        <w:rFonts w:hint="default"/>
        <w:lang w:val="en-US" w:eastAsia="en-US" w:bidi="ar-SA"/>
      </w:rPr>
    </w:lvl>
    <w:lvl w:ilvl="7" w:tplc="1BBEAFC6">
      <w:numFmt w:val="bullet"/>
      <w:lvlText w:val="•"/>
      <w:lvlJc w:val="left"/>
      <w:pPr>
        <w:ind w:left="7146" w:hanging="361"/>
      </w:pPr>
      <w:rPr>
        <w:rFonts w:hint="default"/>
        <w:lang w:val="en-US" w:eastAsia="en-US" w:bidi="ar-SA"/>
      </w:rPr>
    </w:lvl>
    <w:lvl w:ilvl="8" w:tplc="BB08AB76">
      <w:numFmt w:val="bullet"/>
      <w:lvlText w:val="•"/>
      <w:lvlJc w:val="left"/>
      <w:pPr>
        <w:ind w:left="8044" w:hanging="361"/>
      </w:pPr>
      <w:rPr>
        <w:rFonts w:hint="default"/>
        <w:lang w:val="en-US" w:eastAsia="en-US" w:bidi="ar-SA"/>
      </w:rPr>
    </w:lvl>
  </w:abstractNum>
  <w:abstractNum w:abstractNumId="33" w15:restartNumberingAfterBreak="0">
    <w:nsid w:val="651E6CA2"/>
    <w:multiLevelType w:val="hybridMultilevel"/>
    <w:tmpl w:val="95FA46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B4B98"/>
    <w:multiLevelType w:val="hybridMultilevel"/>
    <w:tmpl w:val="7FCE9924"/>
    <w:lvl w:ilvl="0" w:tplc="76D40472">
      <w:numFmt w:val="bullet"/>
      <w:lvlText w:val=""/>
      <w:lvlJc w:val="left"/>
      <w:pPr>
        <w:ind w:left="499" w:hanging="360"/>
      </w:pPr>
      <w:rPr>
        <w:rFonts w:ascii="Symbol" w:eastAsia="Symbol" w:hAnsi="Symbol" w:cs="Symbol" w:hint="default"/>
        <w:w w:val="99"/>
        <w:sz w:val="22"/>
        <w:szCs w:val="22"/>
        <w:lang w:val="en-US" w:eastAsia="en-US" w:bidi="ar-SA"/>
      </w:rPr>
    </w:lvl>
    <w:lvl w:ilvl="1" w:tplc="095A2E06">
      <w:numFmt w:val="bullet"/>
      <w:lvlText w:val="o"/>
      <w:lvlJc w:val="left"/>
      <w:pPr>
        <w:ind w:left="1580" w:hanging="360"/>
      </w:pPr>
      <w:rPr>
        <w:rFonts w:ascii="Courier New" w:eastAsia="Courier New" w:hAnsi="Courier New" w:cs="Courier New" w:hint="default"/>
        <w:w w:val="99"/>
        <w:sz w:val="22"/>
        <w:szCs w:val="22"/>
        <w:lang w:val="en-US" w:eastAsia="en-US" w:bidi="ar-SA"/>
      </w:rPr>
    </w:lvl>
    <w:lvl w:ilvl="2" w:tplc="E6525A18">
      <w:numFmt w:val="bullet"/>
      <w:lvlText w:val="•"/>
      <w:lvlJc w:val="left"/>
      <w:pPr>
        <w:ind w:left="2497" w:hanging="360"/>
      </w:pPr>
      <w:rPr>
        <w:rFonts w:hint="default"/>
        <w:lang w:val="en-US" w:eastAsia="en-US" w:bidi="ar-SA"/>
      </w:rPr>
    </w:lvl>
    <w:lvl w:ilvl="3" w:tplc="CC7AF98E">
      <w:numFmt w:val="bullet"/>
      <w:lvlText w:val="•"/>
      <w:lvlJc w:val="left"/>
      <w:pPr>
        <w:ind w:left="3415" w:hanging="360"/>
      </w:pPr>
      <w:rPr>
        <w:rFonts w:hint="default"/>
        <w:lang w:val="en-US" w:eastAsia="en-US" w:bidi="ar-SA"/>
      </w:rPr>
    </w:lvl>
    <w:lvl w:ilvl="4" w:tplc="870EC9D2">
      <w:numFmt w:val="bullet"/>
      <w:lvlText w:val="•"/>
      <w:lvlJc w:val="left"/>
      <w:pPr>
        <w:ind w:left="4333" w:hanging="360"/>
      </w:pPr>
      <w:rPr>
        <w:rFonts w:hint="default"/>
        <w:lang w:val="en-US" w:eastAsia="en-US" w:bidi="ar-SA"/>
      </w:rPr>
    </w:lvl>
    <w:lvl w:ilvl="5" w:tplc="2488D746">
      <w:numFmt w:val="bullet"/>
      <w:lvlText w:val="•"/>
      <w:lvlJc w:val="left"/>
      <w:pPr>
        <w:ind w:left="5251" w:hanging="360"/>
      </w:pPr>
      <w:rPr>
        <w:rFonts w:hint="default"/>
        <w:lang w:val="en-US" w:eastAsia="en-US" w:bidi="ar-SA"/>
      </w:rPr>
    </w:lvl>
    <w:lvl w:ilvl="6" w:tplc="4C4689B6">
      <w:numFmt w:val="bullet"/>
      <w:lvlText w:val="•"/>
      <w:lvlJc w:val="left"/>
      <w:pPr>
        <w:ind w:left="6168" w:hanging="360"/>
      </w:pPr>
      <w:rPr>
        <w:rFonts w:hint="default"/>
        <w:lang w:val="en-US" w:eastAsia="en-US" w:bidi="ar-SA"/>
      </w:rPr>
    </w:lvl>
    <w:lvl w:ilvl="7" w:tplc="909E73E8">
      <w:numFmt w:val="bullet"/>
      <w:lvlText w:val="•"/>
      <w:lvlJc w:val="left"/>
      <w:pPr>
        <w:ind w:left="7086" w:hanging="360"/>
      </w:pPr>
      <w:rPr>
        <w:rFonts w:hint="default"/>
        <w:lang w:val="en-US" w:eastAsia="en-US" w:bidi="ar-SA"/>
      </w:rPr>
    </w:lvl>
    <w:lvl w:ilvl="8" w:tplc="0DFC01FE">
      <w:numFmt w:val="bullet"/>
      <w:lvlText w:val="•"/>
      <w:lvlJc w:val="left"/>
      <w:pPr>
        <w:ind w:left="8004" w:hanging="360"/>
      </w:pPr>
      <w:rPr>
        <w:rFonts w:hint="default"/>
        <w:lang w:val="en-US" w:eastAsia="en-US" w:bidi="ar-SA"/>
      </w:rPr>
    </w:lvl>
  </w:abstractNum>
  <w:abstractNum w:abstractNumId="35"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C2488"/>
    <w:multiLevelType w:val="hybridMultilevel"/>
    <w:tmpl w:val="5A40C2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71132"/>
    <w:multiLevelType w:val="hybridMultilevel"/>
    <w:tmpl w:val="3CFE3A48"/>
    <w:lvl w:ilvl="0" w:tplc="4712037A">
      <w:start w:val="1"/>
      <w:numFmt w:val="decimal"/>
      <w:lvlText w:val="(%1)"/>
      <w:lvlJc w:val="left"/>
      <w:pPr>
        <w:ind w:left="859" w:hanging="361"/>
      </w:pPr>
      <w:rPr>
        <w:rFonts w:hint="default"/>
        <w:color w:val="auto"/>
        <w:w w:val="100"/>
        <w:sz w:val="18"/>
        <w:szCs w:val="18"/>
        <w:lang w:val="en-US" w:eastAsia="en-US" w:bidi="ar-SA"/>
      </w:rPr>
    </w:lvl>
    <w:lvl w:ilvl="1" w:tplc="FFFFFFFF">
      <w:start w:val="1"/>
      <w:numFmt w:val="upperLetter"/>
      <w:lvlText w:val="%2."/>
      <w:lvlJc w:val="left"/>
      <w:pPr>
        <w:ind w:left="860" w:hanging="360"/>
      </w:pPr>
      <w:rPr>
        <w:rFonts w:ascii="Calibri" w:eastAsia="Calibri" w:hAnsi="Calibri" w:cs="Calibri" w:hint="default"/>
        <w:spacing w:val="-1"/>
        <w:w w:val="100"/>
        <w:sz w:val="22"/>
        <w:szCs w:val="22"/>
        <w:lang w:val="en-US" w:eastAsia="en-US" w:bidi="ar-SA"/>
      </w:rPr>
    </w:lvl>
    <w:lvl w:ilvl="2" w:tplc="FFFFFFFF">
      <w:numFmt w:val="bullet"/>
      <w:lvlText w:val="•"/>
      <w:lvlJc w:val="left"/>
      <w:pPr>
        <w:ind w:left="2656" w:hanging="360"/>
      </w:pPr>
      <w:rPr>
        <w:rFonts w:hint="default"/>
        <w:lang w:val="en-US" w:eastAsia="en-US" w:bidi="ar-SA"/>
      </w:rPr>
    </w:lvl>
    <w:lvl w:ilvl="3" w:tplc="FFFFFFFF">
      <w:numFmt w:val="bullet"/>
      <w:lvlText w:val="•"/>
      <w:lvlJc w:val="left"/>
      <w:pPr>
        <w:ind w:left="3554" w:hanging="360"/>
      </w:pPr>
      <w:rPr>
        <w:rFonts w:hint="default"/>
        <w:lang w:val="en-US" w:eastAsia="en-US" w:bidi="ar-SA"/>
      </w:rPr>
    </w:lvl>
    <w:lvl w:ilvl="4" w:tplc="FFFFFFFF">
      <w:numFmt w:val="bullet"/>
      <w:lvlText w:val="•"/>
      <w:lvlJc w:val="left"/>
      <w:pPr>
        <w:ind w:left="4452" w:hanging="360"/>
      </w:pPr>
      <w:rPr>
        <w:rFonts w:hint="default"/>
        <w:lang w:val="en-US" w:eastAsia="en-US" w:bidi="ar-SA"/>
      </w:rPr>
    </w:lvl>
    <w:lvl w:ilvl="5" w:tplc="FFFFFFFF">
      <w:numFmt w:val="bullet"/>
      <w:lvlText w:val="•"/>
      <w:lvlJc w:val="left"/>
      <w:pPr>
        <w:ind w:left="5350" w:hanging="360"/>
      </w:pPr>
      <w:rPr>
        <w:rFonts w:hint="default"/>
        <w:lang w:val="en-US" w:eastAsia="en-US" w:bidi="ar-SA"/>
      </w:rPr>
    </w:lvl>
    <w:lvl w:ilvl="6" w:tplc="FFFFFFFF">
      <w:numFmt w:val="bullet"/>
      <w:lvlText w:val="•"/>
      <w:lvlJc w:val="left"/>
      <w:pPr>
        <w:ind w:left="6248" w:hanging="360"/>
      </w:pPr>
      <w:rPr>
        <w:rFonts w:hint="default"/>
        <w:lang w:val="en-US" w:eastAsia="en-US" w:bidi="ar-SA"/>
      </w:rPr>
    </w:lvl>
    <w:lvl w:ilvl="7" w:tplc="FFFFFFFF">
      <w:numFmt w:val="bullet"/>
      <w:lvlText w:val="•"/>
      <w:lvlJc w:val="left"/>
      <w:pPr>
        <w:ind w:left="7146" w:hanging="360"/>
      </w:pPr>
      <w:rPr>
        <w:rFonts w:hint="default"/>
        <w:lang w:val="en-US" w:eastAsia="en-US" w:bidi="ar-SA"/>
      </w:rPr>
    </w:lvl>
    <w:lvl w:ilvl="8" w:tplc="FFFFFFFF">
      <w:numFmt w:val="bullet"/>
      <w:lvlText w:val="•"/>
      <w:lvlJc w:val="left"/>
      <w:pPr>
        <w:ind w:left="8044" w:hanging="360"/>
      </w:pPr>
      <w:rPr>
        <w:rFonts w:hint="default"/>
        <w:lang w:val="en-US" w:eastAsia="en-US" w:bidi="ar-SA"/>
      </w:rPr>
    </w:lvl>
  </w:abstractNum>
  <w:abstractNum w:abstractNumId="39" w15:restartNumberingAfterBreak="0">
    <w:nsid w:val="741406C8"/>
    <w:multiLevelType w:val="hybridMultilevel"/>
    <w:tmpl w:val="CD528004"/>
    <w:lvl w:ilvl="0" w:tplc="952AF746">
      <w:numFmt w:val="bullet"/>
      <w:lvlText w:val=""/>
      <w:lvlJc w:val="left"/>
      <w:pPr>
        <w:ind w:left="859" w:hanging="360"/>
      </w:pPr>
      <w:rPr>
        <w:rFonts w:ascii="Symbol" w:eastAsia="Symbol" w:hAnsi="Symbol" w:cs="Symbol" w:hint="default"/>
        <w:w w:val="99"/>
        <w:sz w:val="22"/>
        <w:szCs w:val="22"/>
        <w:lang w:val="en-US" w:eastAsia="en-US" w:bidi="ar-SA"/>
      </w:rPr>
    </w:lvl>
    <w:lvl w:ilvl="1" w:tplc="C1B60E1A">
      <w:numFmt w:val="bullet"/>
      <w:lvlText w:val="o"/>
      <w:lvlJc w:val="left"/>
      <w:pPr>
        <w:ind w:left="1579" w:hanging="360"/>
      </w:pPr>
      <w:rPr>
        <w:rFonts w:ascii="Courier New" w:eastAsia="Courier New" w:hAnsi="Courier New" w:cs="Courier New" w:hint="default"/>
        <w:w w:val="99"/>
        <w:sz w:val="22"/>
        <w:szCs w:val="22"/>
        <w:lang w:val="en-US" w:eastAsia="en-US" w:bidi="ar-SA"/>
      </w:rPr>
    </w:lvl>
    <w:lvl w:ilvl="2" w:tplc="3646A906">
      <w:numFmt w:val="bullet"/>
      <w:lvlText w:val="•"/>
      <w:lvlJc w:val="left"/>
      <w:pPr>
        <w:ind w:left="2497" w:hanging="360"/>
      </w:pPr>
      <w:rPr>
        <w:lang w:val="en-US" w:eastAsia="en-US" w:bidi="ar-SA"/>
      </w:rPr>
    </w:lvl>
    <w:lvl w:ilvl="3" w:tplc="E46ECFC6">
      <w:numFmt w:val="bullet"/>
      <w:lvlText w:val="•"/>
      <w:lvlJc w:val="left"/>
      <w:pPr>
        <w:ind w:left="3415" w:hanging="360"/>
      </w:pPr>
      <w:rPr>
        <w:lang w:val="en-US" w:eastAsia="en-US" w:bidi="ar-SA"/>
      </w:rPr>
    </w:lvl>
    <w:lvl w:ilvl="4" w:tplc="5FAE12BE">
      <w:numFmt w:val="bullet"/>
      <w:lvlText w:val="•"/>
      <w:lvlJc w:val="left"/>
      <w:pPr>
        <w:ind w:left="4333" w:hanging="360"/>
      </w:pPr>
      <w:rPr>
        <w:lang w:val="en-US" w:eastAsia="en-US" w:bidi="ar-SA"/>
      </w:rPr>
    </w:lvl>
    <w:lvl w:ilvl="5" w:tplc="574A31BE">
      <w:numFmt w:val="bullet"/>
      <w:lvlText w:val="•"/>
      <w:lvlJc w:val="left"/>
      <w:pPr>
        <w:ind w:left="5251" w:hanging="360"/>
      </w:pPr>
      <w:rPr>
        <w:lang w:val="en-US" w:eastAsia="en-US" w:bidi="ar-SA"/>
      </w:rPr>
    </w:lvl>
    <w:lvl w:ilvl="6" w:tplc="C010D5B6">
      <w:numFmt w:val="bullet"/>
      <w:lvlText w:val="•"/>
      <w:lvlJc w:val="left"/>
      <w:pPr>
        <w:ind w:left="6168" w:hanging="360"/>
      </w:pPr>
      <w:rPr>
        <w:lang w:val="en-US" w:eastAsia="en-US" w:bidi="ar-SA"/>
      </w:rPr>
    </w:lvl>
    <w:lvl w:ilvl="7" w:tplc="462424D8">
      <w:numFmt w:val="bullet"/>
      <w:lvlText w:val="•"/>
      <w:lvlJc w:val="left"/>
      <w:pPr>
        <w:ind w:left="7086" w:hanging="360"/>
      </w:pPr>
      <w:rPr>
        <w:lang w:val="en-US" w:eastAsia="en-US" w:bidi="ar-SA"/>
      </w:rPr>
    </w:lvl>
    <w:lvl w:ilvl="8" w:tplc="C53C2262">
      <w:numFmt w:val="bullet"/>
      <w:lvlText w:val="•"/>
      <w:lvlJc w:val="left"/>
      <w:pPr>
        <w:ind w:left="8004" w:hanging="360"/>
      </w:pPr>
      <w:rPr>
        <w:lang w:val="en-US" w:eastAsia="en-US" w:bidi="ar-SA"/>
      </w:rPr>
    </w:lvl>
  </w:abstractNum>
  <w:abstractNum w:abstractNumId="40"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53835698">
    <w:abstractNumId w:val="37"/>
  </w:num>
  <w:num w:numId="2" w16cid:durableId="1592162888">
    <w:abstractNumId w:val="19"/>
  </w:num>
  <w:num w:numId="3" w16cid:durableId="1701589992">
    <w:abstractNumId w:val="35"/>
  </w:num>
  <w:num w:numId="4" w16cid:durableId="250937431">
    <w:abstractNumId w:val="40"/>
  </w:num>
  <w:num w:numId="5" w16cid:durableId="167253145">
    <w:abstractNumId w:val="8"/>
  </w:num>
  <w:num w:numId="6" w16cid:durableId="2006201697">
    <w:abstractNumId w:val="5"/>
  </w:num>
  <w:num w:numId="7" w16cid:durableId="382296475">
    <w:abstractNumId w:val="21"/>
  </w:num>
  <w:num w:numId="8" w16cid:durableId="1374648888">
    <w:abstractNumId w:val="30"/>
  </w:num>
  <w:num w:numId="9" w16cid:durableId="953099610">
    <w:abstractNumId w:val="7"/>
  </w:num>
  <w:num w:numId="10" w16cid:durableId="1731414418">
    <w:abstractNumId w:val="0"/>
  </w:num>
  <w:num w:numId="11" w16cid:durableId="560554170">
    <w:abstractNumId w:val="28"/>
  </w:num>
  <w:num w:numId="12" w16cid:durableId="41372163">
    <w:abstractNumId w:val="15"/>
  </w:num>
  <w:num w:numId="13" w16cid:durableId="157355621">
    <w:abstractNumId w:val="18"/>
  </w:num>
  <w:num w:numId="14" w16cid:durableId="1889219522">
    <w:abstractNumId w:val="20"/>
  </w:num>
  <w:num w:numId="15" w16cid:durableId="1779526320">
    <w:abstractNumId w:val="23"/>
  </w:num>
  <w:num w:numId="16" w16cid:durableId="706180342">
    <w:abstractNumId w:val="29"/>
  </w:num>
  <w:num w:numId="17" w16cid:durableId="1333486079">
    <w:abstractNumId w:val="33"/>
  </w:num>
  <w:num w:numId="18" w16cid:durableId="1035277033">
    <w:abstractNumId w:val="17"/>
  </w:num>
  <w:num w:numId="19" w16cid:durableId="464666320">
    <w:abstractNumId w:val="25"/>
  </w:num>
  <w:num w:numId="20" w16cid:durableId="1881355967">
    <w:abstractNumId w:val="22"/>
  </w:num>
  <w:num w:numId="21" w16cid:durableId="1813669967">
    <w:abstractNumId w:val="36"/>
  </w:num>
  <w:num w:numId="22" w16cid:durableId="2082942633">
    <w:abstractNumId w:val="3"/>
  </w:num>
  <w:num w:numId="23" w16cid:durableId="1115949561">
    <w:abstractNumId w:val="12"/>
  </w:num>
  <w:num w:numId="24" w16cid:durableId="1378624996">
    <w:abstractNumId w:val="1"/>
  </w:num>
  <w:num w:numId="25" w16cid:durableId="1497960628">
    <w:abstractNumId w:val="13"/>
  </w:num>
  <w:num w:numId="26" w16cid:durableId="1929998272">
    <w:abstractNumId w:val="27"/>
  </w:num>
  <w:num w:numId="27" w16cid:durableId="1631935123">
    <w:abstractNumId w:val="24"/>
  </w:num>
  <w:num w:numId="28" w16cid:durableId="2106997387">
    <w:abstractNumId w:val="16"/>
  </w:num>
  <w:num w:numId="29" w16cid:durableId="867454467">
    <w:abstractNumId w:val="9"/>
  </w:num>
  <w:num w:numId="30" w16cid:durableId="374163767">
    <w:abstractNumId w:val="31"/>
  </w:num>
  <w:num w:numId="31" w16cid:durableId="2049532">
    <w:abstractNumId w:val="10"/>
  </w:num>
  <w:num w:numId="32" w16cid:durableId="269555981">
    <w:abstractNumId w:val="11"/>
  </w:num>
  <w:num w:numId="33" w16cid:durableId="188305493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258828675">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16cid:durableId="250894975">
    <w:abstractNumId w:val="39"/>
  </w:num>
  <w:num w:numId="36" w16cid:durableId="307903304">
    <w:abstractNumId w:val="4"/>
  </w:num>
  <w:num w:numId="37" w16cid:durableId="1946451433">
    <w:abstractNumId w:val="34"/>
  </w:num>
  <w:num w:numId="38" w16cid:durableId="932393885">
    <w:abstractNumId w:val="6"/>
  </w:num>
  <w:num w:numId="39" w16cid:durableId="1475367179">
    <w:abstractNumId w:val="26"/>
  </w:num>
  <w:num w:numId="40" w16cid:durableId="1441219592">
    <w:abstractNumId w:val="32"/>
  </w:num>
  <w:num w:numId="41" w16cid:durableId="1331786823">
    <w:abstractNumId w:val="38"/>
  </w:num>
  <w:num w:numId="42" w16cid:durableId="2094545499">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16E"/>
    <w:rsid w:val="000013E5"/>
    <w:rsid w:val="0000146B"/>
    <w:rsid w:val="00001EAE"/>
    <w:rsid w:val="00002320"/>
    <w:rsid w:val="0000272B"/>
    <w:rsid w:val="00002962"/>
    <w:rsid w:val="00002B25"/>
    <w:rsid w:val="00002D92"/>
    <w:rsid w:val="00002E37"/>
    <w:rsid w:val="000032E5"/>
    <w:rsid w:val="000036C1"/>
    <w:rsid w:val="00003894"/>
    <w:rsid w:val="00004592"/>
    <w:rsid w:val="00004700"/>
    <w:rsid w:val="00004880"/>
    <w:rsid w:val="00004E61"/>
    <w:rsid w:val="0000579A"/>
    <w:rsid w:val="000063AC"/>
    <w:rsid w:val="0000663B"/>
    <w:rsid w:val="00006A25"/>
    <w:rsid w:val="000070D5"/>
    <w:rsid w:val="00010158"/>
    <w:rsid w:val="000105C5"/>
    <w:rsid w:val="00011443"/>
    <w:rsid w:val="000114E3"/>
    <w:rsid w:val="00011778"/>
    <w:rsid w:val="00011B86"/>
    <w:rsid w:val="0001227B"/>
    <w:rsid w:val="000124F7"/>
    <w:rsid w:val="00013138"/>
    <w:rsid w:val="0001550D"/>
    <w:rsid w:val="00015D55"/>
    <w:rsid w:val="0001707D"/>
    <w:rsid w:val="00017940"/>
    <w:rsid w:val="00017BA7"/>
    <w:rsid w:val="00017D15"/>
    <w:rsid w:val="000209D6"/>
    <w:rsid w:val="00020E05"/>
    <w:rsid w:val="0002147B"/>
    <w:rsid w:val="00021AE9"/>
    <w:rsid w:val="000221B3"/>
    <w:rsid w:val="000223EC"/>
    <w:rsid w:val="000227B7"/>
    <w:rsid w:val="00023642"/>
    <w:rsid w:val="00023E62"/>
    <w:rsid w:val="000248C8"/>
    <w:rsid w:val="00024979"/>
    <w:rsid w:val="000251C4"/>
    <w:rsid w:val="000256D1"/>
    <w:rsid w:val="00025AFF"/>
    <w:rsid w:val="00025D8D"/>
    <w:rsid w:val="000277CE"/>
    <w:rsid w:val="00027886"/>
    <w:rsid w:val="0003014D"/>
    <w:rsid w:val="000301BA"/>
    <w:rsid w:val="00030B45"/>
    <w:rsid w:val="00031560"/>
    <w:rsid w:val="00031A91"/>
    <w:rsid w:val="00031C3A"/>
    <w:rsid w:val="00031E3A"/>
    <w:rsid w:val="00032548"/>
    <w:rsid w:val="0003292C"/>
    <w:rsid w:val="00032930"/>
    <w:rsid w:val="00032AC4"/>
    <w:rsid w:val="00032DB1"/>
    <w:rsid w:val="00033474"/>
    <w:rsid w:val="000336AC"/>
    <w:rsid w:val="00033723"/>
    <w:rsid w:val="00034A81"/>
    <w:rsid w:val="000360A5"/>
    <w:rsid w:val="000367A3"/>
    <w:rsid w:val="00036AA4"/>
    <w:rsid w:val="00040BA5"/>
    <w:rsid w:val="00041274"/>
    <w:rsid w:val="000417B4"/>
    <w:rsid w:val="00041E27"/>
    <w:rsid w:val="00041FD3"/>
    <w:rsid w:val="0004359A"/>
    <w:rsid w:val="000437FD"/>
    <w:rsid w:val="00043AAB"/>
    <w:rsid w:val="00043AC9"/>
    <w:rsid w:val="000444E2"/>
    <w:rsid w:val="00044883"/>
    <w:rsid w:val="00044B5C"/>
    <w:rsid w:val="00045F9F"/>
    <w:rsid w:val="00046488"/>
    <w:rsid w:val="00046969"/>
    <w:rsid w:val="00046BF9"/>
    <w:rsid w:val="000477FF"/>
    <w:rsid w:val="00047CB5"/>
    <w:rsid w:val="00051B61"/>
    <w:rsid w:val="000521AB"/>
    <w:rsid w:val="0005247A"/>
    <w:rsid w:val="000526F6"/>
    <w:rsid w:val="00052E15"/>
    <w:rsid w:val="000532EB"/>
    <w:rsid w:val="00053391"/>
    <w:rsid w:val="000533D7"/>
    <w:rsid w:val="00053795"/>
    <w:rsid w:val="00053DFE"/>
    <w:rsid w:val="0005400D"/>
    <w:rsid w:val="000545D2"/>
    <w:rsid w:val="00054985"/>
    <w:rsid w:val="00054A60"/>
    <w:rsid w:val="00054C7A"/>
    <w:rsid w:val="00054FA8"/>
    <w:rsid w:val="000550B2"/>
    <w:rsid w:val="00055BD1"/>
    <w:rsid w:val="00055C7A"/>
    <w:rsid w:val="00055FC7"/>
    <w:rsid w:val="00056350"/>
    <w:rsid w:val="00056758"/>
    <w:rsid w:val="00056F03"/>
    <w:rsid w:val="00057843"/>
    <w:rsid w:val="000578BA"/>
    <w:rsid w:val="0006058A"/>
    <w:rsid w:val="00060ADC"/>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8E0"/>
    <w:rsid w:val="00066BAA"/>
    <w:rsid w:val="00066F3E"/>
    <w:rsid w:val="00067654"/>
    <w:rsid w:val="00067C04"/>
    <w:rsid w:val="00070D9E"/>
    <w:rsid w:val="00071D42"/>
    <w:rsid w:val="00072B99"/>
    <w:rsid w:val="00072BBA"/>
    <w:rsid w:val="00072FEE"/>
    <w:rsid w:val="00073047"/>
    <w:rsid w:val="00073BD7"/>
    <w:rsid w:val="00074237"/>
    <w:rsid w:val="000743D6"/>
    <w:rsid w:val="00074B33"/>
    <w:rsid w:val="000762B0"/>
    <w:rsid w:val="000778C9"/>
    <w:rsid w:val="000802F7"/>
    <w:rsid w:val="000806CC"/>
    <w:rsid w:val="00080D36"/>
    <w:rsid w:val="00080EBD"/>
    <w:rsid w:val="00082667"/>
    <w:rsid w:val="000829BF"/>
    <w:rsid w:val="0008392B"/>
    <w:rsid w:val="00083B68"/>
    <w:rsid w:val="0008402E"/>
    <w:rsid w:val="0008434A"/>
    <w:rsid w:val="000845C1"/>
    <w:rsid w:val="000847AD"/>
    <w:rsid w:val="00084FF1"/>
    <w:rsid w:val="000850E1"/>
    <w:rsid w:val="00085111"/>
    <w:rsid w:val="0008540D"/>
    <w:rsid w:val="00085B13"/>
    <w:rsid w:val="00085C21"/>
    <w:rsid w:val="00085D89"/>
    <w:rsid w:val="000867D7"/>
    <w:rsid w:val="0008752B"/>
    <w:rsid w:val="00087EB9"/>
    <w:rsid w:val="00090132"/>
    <w:rsid w:val="000901D6"/>
    <w:rsid w:val="000903A7"/>
    <w:rsid w:val="00090C2F"/>
    <w:rsid w:val="000915A3"/>
    <w:rsid w:val="00091A40"/>
    <w:rsid w:val="00091DB2"/>
    <w:rsid w:val="000923A7"/>
    <w:rsid w:val="00092636"/>
    <w:rsid w:val="00092E0A"/>
    <w:rsid w:val="00093ACB"/>
    <w:rsid w:val="00094739"/>
    <w:rsid w:val="000948DD"/>
    <w:rsid w:val="00095491"/>
    <w:rsid w:val="00096442"/>
    <w:rsid w:val="0009692C"/>
    <w:rsid w:val="00096A50"/>
    <w:rsid w:val="00096F71"/>
    <w:rsid w:val="00097249"/>
    <w:rsid w:val="000977EB"/>
    <w:rsid w:val="000A01AC"/>
    <w:rsid w:val="000A0593"/>
    <w:rsid w:val="000A1594"/>
    <w:rsid w:val="000A18ED"/>
    <w:rsid w:val="000A1989"/>
    <w:rsid w:val="000A2C83"/>
    <w:rsid w:val="000A2E95"/>
    <w:rsid w:val="000A32F4"/>
    <w:rsid w:val="000A4757"/>
    <w:rsid w:val="000A49CD"/>
    <w:rsid w:val="000A49F7"/>
    <w:rsid w:val="000A4CDC"/>
    <w:rsid w:val="000A4ED6"/>
    <w:rsid w:val="000A4FD8"/>
    <w:rsid w:val="000A5A2E"/>
    <w:rsid w:val="000A66A9"/>
    <w:rsid w:val="000A6CA4"/>
    <w:rsid w:val="000A700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565"/>
    <w:rsid w:val="000C0900"/>
    <w:rsid w:val="000C1754"/>
    <w:rsid w:val="000C1C56"/>
    <w:rsid w:val="000C2448"/>
    <w:rsid w:val="000C24C2"/>
    <w:rsid w:val="000C2AED"/>
    <w:rsid w:val="000C3180"/>
    <w:rsid w:val="000C3421"/>
    <w:rsid w:val="000C3A20"/>
    <w:rsid w:val="000C45DB"/>
    <w:rsid w:val="000C47B3"/>
    <w:rsid w:val="000C50F5"/>
    <w:rsid w:val="000C52CF"/>
    <w:rsid w:val="000C5A7A"/>
    <w:rsid w:val="000C5B96"/>
    <w:rsid w:val="000C60E1"/>
    <w:rsid w:val="000C6167"/>
    <w:rsid w:val="000C71F1"/>
    <w:rsid w:val="000C7B90"/>
    <w:rsid w:val="000D03F2"/>
    <w:rsid w:val="000D0EE0"/>
    <w:rsid w:val="000D1580"/>
    <w:rsid w:val="000D2287"/>
    <w:rsid w:val="000D289C"/>
    <w:rsid w:val="000D2EA7"/>
    <w:rsid w:val="000D3273"/>
    <w:rsid w:val="000D3CAE"/>
    <w:rsid w:val="000D3DAA"/>
    <w:rsid w:val="000D3ED8"/>
    <w:rsid w:val="000D3EDF"/>
    <w:rsid w:val="000D3F12"/>
    <w:rsid w:val="000D4537"/>
    <w:rsid w:val="000D4C8D"/>
    <w:rsid w:val="000D6C5B"/>
    <w:rsid w:val="000D6EC4"/>
    <w:rsid w:val="000D746C"/>
    <w:rsid w:val="000D79AE"/>
    <w:rsid w:val="000E04D6"/>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E94"/>
    <w:rsid w:val="000F0525"/>
    <w:rsid w:val="000F0806"/>
    <w:rsid w:val="000F0D59"/>
    <w:rsid w:val="000F0FCB"/>
    <w:rsid w:val="000F1792"/>
    <w:rsid w:val="000F1C34"/>
    <w:rsid w:val="000F256B"/>
    <w:rsid w:val="000F2A59"/>
    <w:rsid w:val="000F2A8B"/>
    <w:rsid w:val="000F40CF"/>
    <w:rsid w:val="000F435D"/>
    <w:rsid w:val="000F48BC"/>
    <w:rsid w:val="000F4C46"/>
    <w:rsid w:val="000F4E22"/>
    <w:rsid w:val="000F4F37"/>
    <w:rsid w:val="000F66B8"/>
    <w:rsid w:val="000F670E"/>
    <w:rsid w:val="000F7196"/>
    <w:rsid w:val="000F7399"/>
    <w:rsid w:val="000F76DD"/>
    <w:rsid w:val="000F7A89"/>
    <w:rsid w:val="000F7C7C"/>
    <w:rsid w:val="000F7CF3"/>
    <w:rsid w:val="001011BB"/>
    <w:rsid w:val="0010168C"/>
    <w:rsid w:val="0010170F"/>
    <w:rsid w:val="00101CA5"/>
    <w:rsid w:val="0010203A"/>
    <w:rsid w:val="00102505"/>
    <w:rsid w:val="00102C3C"/>
    <w:rsid w:val="00102F19"/>
    <w:rsid w:val="00102FA3"/>
    <w:rsid w:val="00104B17"/>
    <w:rsid w:val="0010510A"/>
    <w:rsid w:val="00105DC4"/>
    <w:rsid w:val="00105F98"/>
    <w:rsid w:val="001061C0"/>
    <w:rsid w:val="00106D71"/>
    <w:rsid w:val="00107406"/>
    <w:rsid w:val="0010785B"/>
    <w:rsid w:val="00107F32"/>
    <w:rsid w:val="00107FAE"/>
    <w:rsid w:val="00110328"/>
    <w:rsid w:val="0011074D"/>
    <w:rsid w:val="00110BB6"/>
    <w:rsid w:val="001111BE"/>
    <w:rsid w:val="0011161A"/>
    <w:rsid w:val="001126C3"/>
    <w:rsid w:val="00112F4D"/>
    <w:rsid w:val="00113CE9"/>
    <w:rsid w:val="001142DE"/>
    <w:rsid w:val="0011547F"/>
    <w:rsid w:val="001156D2"/>
    <w:rsid w:val="00115CDA"/>
    <w:rsid w:val="00116D0B"/>
    <w:rsid w:val="00116E25"/>
    <w:rsid w:val="00117490"/>
    <w:rsid w:val="00117588"/>
    <w:rsid w:val="00117696"/>
    <w:rsid w:val="00117952"/>
    <w:rsid w:val="001203FA"/>
    <w:rsid w:val="00120808"/>
    <w:rsid w:val="00121709"/>
    <w:rsid w:val="00122103"/>
    <w:rsid w:val="0012230D"/>
    <w:rsid w:val="00122384"/>
    <w:rsid w:val="001225CB"/>
    <w:rsid w:val="00123D76"/>
    <w:rsid w:val="00123FF7"/>
    <w:rsid w:val="00124025"/>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16B1"/>
    <w:rsid w:val="00131842"/>
    <w:rsid w:val="00131F82"/>
    <w:rsid w:val="001323A5"/>
    <w:rsid w:val="00132EE9"/>
    <w:rsid w:val="001336AE"/>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E29"/>
    <w:rsid w:val="00142056"/>
    <w:rsid w:val="00142117"/>
    <w:rsid w:val="001428A0"/>
    <w:rsid w:val="001430AA"/>
    <w:rsid w:val="001436E0"/>
    <w:rsid w:val="0014399E"/>
    <w:rsid w:val="001445CE"/>
    <w:rsid w:val="00144795"/>
    <w:rsid w:val="001450D9"/>
    <w:rsid w:val="001465F2"/>
    <w:rsid w:val="00146BB0"/>
    <w:rsid w:val="00146C28"/>
    <w:rsid w:val="00146FBA"/>
    <w:rsid w:val="001474EC"/>
    <w:rsid w:val="0014778D"/>
    <w:rsid w:val="00150A68"/>
    <w:rsid w:val="00150B3B"/>
    <w:rsid w:val="00151F97"/>
    <w:rsid w:val="0015313D"/>
    <w:rsid w:val="00153F2D"/>
    <w:rsid w:val="001542AE"/>
    <w:rsid w:val="0015622A"/>
    <w:rsid w:val="00156264"/>
    <w:rsid w:val="00156865"/>
    <w:rsid w:val="0015691B"/>
    <w:rsid w:val="00156C67"/>
    <w:rsid w:val="00156F30"/>
    <w:rsid w:val="001603DE"/>
    <w:rsid w:val="001604F3"/>
    <w:rsid w:val="00160856"/>
    <w:rsid w:val="00160D96"/>
    <w:rsid w:val="001612CB"/>
    <w:rsid w:val="00161D1D"/>
    <w:rsid w:val="001628C0"/>
    <w:rsid w:val="00162F4A"/>
    <w:rsid w:val="001633A0"/>
    <w:rsid w:val="0016350F"/>
    <w:rsid w:val="001638EB"/>
    <w:rsid w:val="00163AF4"/>
    <w:rsid w:val="00163BEE"/>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11DC"/>
    <w:rsid w:val="00172058"/>
    <w:rsid w:val="001720C2"/>
    <w:rsid w:val="00172C41"/>
    <w:rsid w:val="00172F58"/>
    <w:rsid w:val="00173186"/>
    <w:rsid w:val="0017335B"/>
    <w:rsid w:val="001739F9"/>
    <w:rsid w:val="00173DFE"/>
    <w:rsid w:val="001744F9"/>
    <w:rsid w:val="00174662"/>
    <w:rsid w:val="00174B9B"/>
    <w:rsid w:val="001750A0"/>
    <w:rsid w:val="00175656"/>
    <w:rsid w:val="001756FB"/>
    <w:rsid w:val="00175845"/>
    <w:rsid w:val="00175D9B"/>
    <w:rsid w:val="00176082"/>
    <w:rsid w:val="00176779"/>
    <w:rsid w:val="001773E7"/>
    <w:rsid w:val="00177BC6"/>
    <w:rsid w:val="00177E7A"/>
    <w:rsid w:val="00177EC7"/>
    <w:rsid w:val="001806EA"/>
    <w:rsid w:val="00181070"/>
    <w:rsid w:val="001829C9"/>
    <w:rsid w:val="00182B26"/>
    <w:rsid w:val="001831D2"/>
    <w:rsid w:val="001835EE"/>
    <w:rsid w:val="00183E9B"/>
    <w:rsid w:val="001843C6"/>
    <w:rsid w:val="00184911"/>
    <w:rsid w:val="001853BF"/>
    <w:rsid w:val="00185BA9"/>
    <w:rsid w:val="00186309"/>
    <w:rsid w:val="0018657A"/>
    <w:rsid w:val="00186964"/>
    <w:rsid w:val="001875AF"/>
    <w:rsid w:val="00190104"/>
    <w:rsid w:val="00191350"/>
    <w:rsid w:val="0019260C"/>
    <w:rsid w:val="00193321"/>
    <w:rsid w:val="00194AD8"/>
    <w:rsid w:val="001955AC"/>
    <w:rsid w:val="001965F5"/>
    <w:rsid w:val="0019671E"/>
    <w:rsid w:val="00196B54"/>
    <w:rsid w:val="00196BEB"/>
    <w:rsid w:val="00196CE6"/>
    <w:rsid w:val="00196F4B"/>
    <w:rsid w:val="001A0637"/>
    <w:rsid w:val="001A0C28"/>
    <w:rsid w:val="001A189D"/>
    <w:rsid w:val="001A1ABA"/>
    <w:rsid w:val="001A2657"/>
    <w:rsid w:val="001A2D6A"/>
    <w:rsid w:val="001A342F"/>
    <w:rsid w:val="001A3539"/>
    <w:rsid w:val="001A3BEB"/>
    <w:rsid w:val="001A4886"/>
    <w:rsid w:val="001A582D"/>
    <w:rsid w:val="001A5EEE"/>
    <w:rsid w:val="001A60EE"/>
    <w:rsid w:val="001A6B81"/>
    <w:rsid w:val="001A6E55"/>
    <w:rsid w:val="001B07D3"/>
    <w:rsid w:val="001B12D3"/>
    <w:rsid w:val="001B1437"/>
    <w:rsid w:val="001B16F4"/>
    <w:rsid w:val="001B1B38"/>
    <w:rsid w:val="001B1E5C"/>
    <w:rsid w:val="001B2FFF"/>
    <w:rsid w:val="001B30DB"/>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A20"/>
    <w:rsid w:val="001D1B71"/>
    <w:rsid w:val="001D21D9"/>
    <w:rsid w:val="001D2E9B"/>
    <w:rsid w:val="001D3C35"/>
    <w:rsid w:val="001D3D0A"/>
    <w:rsid w:val="001D496D"/>
    <w:rsid w:val="001D508C"/>
    <w:rsid w:val="001D508D"/>
    <w:rsid w:val="001D51D9"/>
    <w:rsid w:val="001D55EC"/>
    <w:rsid w:val="001D5841"/>
    <w:rsid w:val="001D5BAF"/>
    <w:rsid w:val="001D5F4A"/>
    <w:rsid w:val="001D677D"/>
    <w:rsid w:val="001D6A0A"/>
    <w:rsid w:val="001D6B3B"/>
    <w:rsid w:val="001D6BA5"/>
    <w:rsid w:val="001D7011"/>
    <w:rsid w:val="001D71B6"/>
    <w:rsid w:val="001E0824"/>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7A9"/>
    <w:rsid w:val="001F0BFD"/>
    <w:rsid w:val="001F1168"/>
    <w:rsid w:val="001F1275"/>
    <w:rsid w:val="001F165D"/>
    <w:rsid w:val="001F1F11"/>
    <w:rsid w:val="001F2870"/>
    <w:rsid w:val="001F2C34"/>
    <w:rsid w:val="001F2DC7"/>
    <w:rsid w:val="001F32F8"/>
    <w:rsid w:val="001F361D"/>
    <w:rsid w:val="001F3A65"/>
    <w:rsid w:val="001F3A6C"/>
    <w:rsid w:val="001F448F"/>
    <w:rsid w:val="001F4991"/>
    <w:rsid w:val="001F4C9D"/>
    <w:rsid w:val="001F5453"/>
    <w:rsid w:val="001F57DF"/>
    <w:rsid w:val="001F64DB"/>
    <w:rsid w:val="001F6583"/>
    <w:rsid w:val="001F692C"/>
    <w:rsid w:val="001F6A28"/>
    <w:rsid w:val="001F6BAA"/>
    <w:rsid w:val="001F7049"/>
    <w:rsid w:val="001F7C95"/>
    <w:rsid w:val="002002C8"/>
    <w:rsid w:val="00200745"/>
    <w:rsid w:val="00200DF4"/>
    <w:rsid w:val="0020141B"/>
    <w:rsid w:val="0020188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DCE"/>
    <w:rsid w:val="00212954"/>
    <w:rsid w:val="00212E92"/>
    <w:rsid w:val="00214263"/>
    <w:rsid w:val="00214749"/>
    <w:rsid w:val="0021481D"/>
    <w:rsid w:val="0021530B"/>
    <w:rsid w:val="00215E33"/>
    <w:rsid w:val="00217F33"/>
    <w:rsid w:val="00220311"/>
    <w:rsid w:val="002203FA"/>
    <w:rsid w:val="0022093F"/>
    <w:rsid w:val="002210FB"/>
    <w:rsid w:val="00221206"/>
    <w:rsid w:val="00221EC9"/>
    <w:rsid w:val="002223BB"/>
    <w:rsid w:val="00222B7B"/>
    <w:rsid w:val="00224107"/>
    <w:rsid w:val="0022535C"/>
    <w:rsid w:val="00225CD5"/>
    <w:rsid w:val="00227DE4"/>
    <w:rsid w:val="00227E23"/>
    <w:rsid w:val="00230E4A"/>
    <w:rsid w:val="00230EE6"/>
    <w:rsid w:val="002318F8"/>
    <w:rsid w:val="002330FF"/>
    <w:rsid w:val="00233191"/>
    <w:rsid w:val="00233230"/>
    <w:rsid w:val="00233913"/>
    <w:rsid w:val="002342E5"/>
    <w:rsid w:val="002349E3"/>
    <w:rsid w:val="002349E5"/>
    <w:rsid w:val="0023537B"/>
    <w:rsid w:val="0023569F"/>
    <w:rsid w:val="002374DE"/>
    <w:rsid w:val="0024014D"/>
    <w:rsid w:val="00240638"/>
    <w:rsid w:val="00241102"/>
    <w:rsid w:val="00241BD0"/>
    <w:rsid w:val="00241E12"/>
    <w:rsid w:val="002423F2"/>
    <w:rsid w:val="00242B5A"/>
    <w:rsid w:val="00242D8A"/>
    <w:rsid w:val="00242F63"/>
    <w:rsid w:val="0024349D"/>
    <w:rsid w:val="0024349E"/>
    <w:rsid w:val="0024351A"/>
    <w:rsid w:val="00243C7D"/>
    <w:rsid w:val="002441FF"/>
    <w:rsid w:val="00244E23"/>
    <w:rsid w:val="002451DC"/>
    <w:rsid w:val="00245261"/>
    <w:rsid w:val="00245835"/>
    <w:rsid w:val="002458C0"/>
    <w:rsid w:val="00245D5D"/>
    <w:rsid w:val="00246915"/>
    <w:rsid w:val="002477AC"/>
    <w:rsid w:val="00247959"/>
    <w:rsid w:val="00250278"/>
    <w:rsid w:val="002507BC"/>
    <w:rsid w:val="00250A97"/>
    <w:rsid w:val="00250BEA"/>
    <w:rsid w:val="00250E0A"/>
    <w:rsid w:val="00251098"/>
    <w:rsid w:val="00251242"/>
    <w:rsid w:val="002518F2"/>
    <w:rsid w:val="00251CC0"/>
    <w:rsid w:val="002522EB"/>
    <w:rsid w:val="002523BB"/>
    <w:rsid w:val="002529C8"/>
    <w:rsid w:val="00253252"/>
    <w:rsid w:val="0025343C"/>
    <w:rsid w:val="002536C1"/>
    <w:rsid w:val="00253975"/>
    <w:rsid w:val="00255E0E"/>
    <w:rsid w:val="0025687D"/>
    <w:rsid w:val="00256998"/>
    <w:rsid w:val="00256FF8"/>
    <w:rsid w:val="002602A9"/>
    <w:rsid w:val="00260D94"/>
    <w:rsid w:val="00260DBA"/>
    <w:rsid w:val="002621F6"/>
    <w:rsid w:val="002623CD"/>
    <w:rsid w:val="00262BC0"/>
    <w:rsid w:val="002639F2"/>
    <w:rsid w:val="00264AC4"/>
    <w:rsid w:val="00264D70"/>
    <w:rsid w:val="002651D2"/>
    <w:rsid w:val="00265DF6"/>
    <w:rsid w:val="00266107"/>
    <w:rsid w:val="002666D1"/>
    <w:rsid w:val="002667EA"/>
    <w:rsid w:val="00267199"/>
    <w:rsid w:val="0026766C"/>
    <w:rsid w:val="002676A2"/>
    <w:rsid w:val="00270239"/>
    <w:rsid w:val="00271656"/>
    <w:rsid w:val="00271E37"/>
    <w:rsid w:val="00273A95"/>
    <w:rsid w:val="002742D7"/>
    <w:rsid w:val="0027466E"/>
    <w:rsid w:val="00274A01"/>
    <w:rsid w:val="002764FB"/>
    <w:rsid w:val="002768DB"/>
    <w:rsid w:val="002772F4"/>
    <w:rsid w:val="00277C0C"/>
    <w:rsid w:val="00277FC9"/>
    <w:rsid w:val="002801CB"/>
    <w:rsid w:val="0028078A"/>
    <w:rsid w:val="00280C06"/>
    <w:rsid w:val="00280FC8"/>
    <w:rsid w:val="0028126A"/>
    <w:rsid w:val="002813C2"/>
    <w:rsid w:val="002816F8"/>
    <w:rsid w:val="00281D27"/>
    <w:rsid w:val="0028232F"/>
    <w:rsid w:val="002824BD"/>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1641"/>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4010"/>
    <w:rsid w:val="002B481B"/>
    <w:rsid w:val="002B4BE3"/>
    <w:rsid w:val="002B4D97"/>
    <w:rsid w:val="002B5631"/>
    <w:rsid w:val="002B646E"/>
    <w:rsid w:val="002B6555"/>
    <w:rsid w:val="002B68F9"/>
    <w:rsid w:val="002B6949"/>
    <w:rsid w:val="002B6965"/>
    <w:rsid w:val="002B7490"/>
    <w:rsid w:val="002B7F41"/>
    <w:rsid w:val="002C02F9"/>
    <w:rsid w:val="002C11D6"/>
    <w:rsid w:val="002C207A"/>
    <w:rsid w:val="002C32D7"/>
    <w:rsid w:val="002C3413"/>
    <w:rsid w:val="002C3D51"/>
    <w:rsid w:val="002C43CF"/>
    <w:rsid w:val="002C5259"/>
    <w:rsid w:val="002C5A1B"/>
    <w:rsid w:val="002C60D5"/>
    <w:rsid w:val="002C68A2"/>
    <w:rsid w:val="002C6B70"/>
    <w:rsid w:val="002C705B"/>
    <w:rsid w:val="002C72EA"/>
    <w:rsid w:val="002C7DA3"/>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346C"/>
    <w:rsid w:val="002E4104"/>
    <w:rsid w:val="002E456C"/>
    <w:rsid w:val="002E49AA"/>
    <w:rsid w:val="002E4D4F"/>
    <w:rsid w:val="002E5136"/>
    <w:rsid w:val="002E52B9"/>
    <w:rsid w:val="002E66C4"/>
    <w:rsid w:val="002E69D1"/>
    <w:rsid w:val="002E763A"/>
    <w:rsid w:val="002E7868"/>
    <w:rsid w:val="002F0129"/>
    <w:rsid w:val="002F088C"/>
    <w:rsid w:val="002F09C5"/>
    <w:rsid w:val="002F0F0A"/>
    <w:rsid w:val="002F0F0E"/>
    <w:rsid w:val="002F1CFB"/>
    <w:rsid w:val="002F1D27"/>
    <w:rsid w:val="002F2379"/>
    <w:rsid w:val="002F3163"/>
    <w:rsid w:val="002F364A"/>
    <w:rsid w:val="002F44F9"/>
    <w:rsid w:val="002F5568"/>
    <w:rsid w:val="002F5F54"/>
    <w:rsid w:val="002F6CA7"/>
    <w:rsid w:val="002F6CB6"/>
    <w:rsid w:val="002F7D07"/>
    <w:rsid w:val="00300258"/>
    <w:rsid w:val="003005A6"/>
    <w:rsid w:val="003008E2"/>
    <w:rsid w:val="00300CF4"/>
    <w:rsid w:val="00301FD0"/>
    <w:rsid w:val="00302CA6"/>
    <w:rsid w:val="00302CD0"/>
    <w:rsid w:val="003031B5"/>
    <w:rsid w:val="0030359D"/>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7CF"/>
    <w:rsid w:val="00307895"/>
    <w:rsid w:val="00310357"/>
    <w:rsid w:val="00310483"/>
    <w:rsid w:val="00310D4A"/>
    <w:rsid w:val="003111B9"/>
    <w:rsid w:val="003112BE"/>
    <w:rsid w:val="00311355"/>
    <w:rsid w:val="00312480"/>
    <w:rsid w:val="00312732"/>
    <w:rsid w:val="00312C1A"/>
    <w:rsid w:val="0031316A"/>
    <w:rsid w:val="0031327B"/>
    <w:rsid w:val="003132AE"/>
    <w:rsid w:val="003133B4"/>
    <w:rsid w:val="003136FD"/>
    <w:rsid w:val="003138F9"/>
    <w:rsid w:val="0031445F"/>
    <w:rsid w:val="00314A86"/>
    <w:rsid w:val="00315173"/>
    <w:rsid w:val="00315747"/>
    <w:rsid w:val="00315E88"/>
    <w:rsid w:val="00316138"/>
    <w:rsid w:val="0031684C"/>
    <w:rsid w:val="00317888"/>
    <w:rsid w:val="00317C9F"/>
    <w:rsid w:val="00317D36"/>
    <w:rsid w:val="003205A2"/>
    <w:rsid w:val="00320A06"/>
    <w:rsid w:val="00320AC3"/>
    <w:rsid w:val="00320F23"/>
    <w:rsid w:val="00321497"/>
    <w:rsid w:val="003217D2"/>
    <w:rsid w:val="00321982"/>
    <w:rsid w:val="00321ED3"/>
    <w:rsid w:val="003229FA"/>
    <w:rsid w:val="00322EB5"/>
    <w:rsid w:val="00323BDD"/>
    <w:rsid w:val="00324430"/>
    <w:rsid w:val="00324615"/>
    <w:rsid w:val="00325944"/>
    <w:rsid w:val="003263F1"/>
    <w:rsid w:val="00326814"/>
    <w:rsid w:val="00326B5B"/>
    <w:rsid w:val="00326C0B"/>
    <w:rsid w:val="00330231"/>
    <w:rsid w:val="003308B8"/>
    <w:rsid w:val="00331137"/>
    <w:rsid w:val="00331CBC"/>
    <w:rsid w:val="00332054"/>
    <w:rsid w:val="003321D1"/>
    <w:rsid w:val="00332397"/>
    <w:rsid w:val="0033239B"/>
    <w:rsid w:val="00332E23"/>
    <w:rsid w:val="00333FD4"/>
    <w:rsid w:val="0033429D"/>
    <w:rsid w:val="00334953"/>
    <w:rsid w:val="00334EAB"/>
    <w:rsid w:val="00334EF8"/>
    <w:rsid w:val="00335139"/>
    <w:rsid w:val="003356F1"/>
    <w:rsid w:val="00335D2A"/>
    <w:rsid w:val="00340115"/>
    <w:rsid w:val="003403B4"/>
    <w:rsid w:val="0034074E"/>
    <w:rsid w:val="0034094E"/>
    <w:rsid w:val="00341650"/>
    <w:rsid w:val="00342627"/>
    <w:rsid w:val="0034266C"/>
    <w:rsid w:val="00343E21"/>
    <w:rsid w:val="00344A5B"/>
    <w:rsid w:val="00344AE0"/>
    <w:rsid w:val="003452DA"/>
    <w:rsid w:val="0034558C"/>
    <w:rsid w:val="00345912"/>
    <w:rsid w:val="00345B60"/>
    <w:rsid w:val="00345EDF"/>
    <w:rsid w:val="003464CD"/>
    <w:rsid w:val="00346510"/>
    <w:rsid w:val="00346807"/>
    <w:rsid w:val="00346D66"/>
    <w:rsid w:val="00346E9D"/>
    <w:rsid w:val="00347516"/>
    <w:rsid w:val="00347F04"/>
    <w:rsid w:val="003501E6"/>
    <w:rsid w:val="0035126E"/>
    <w:rsid w:val="00351CE7"/>
    <w:rsid w:val="00351FA8"/>
    <w:rsid w:val="003521AD"/>
    <w:rsid w:val="003522C0"/>
    <w:rsid w:val="00352769"/>
    <w:rsid w:val="00352E68"/>
    <w:rsid w:val="003532E2"/>
    <w:rsid w:val="00353EB1"/>
    <w:rsid w:val="00353FEA"/>
    <w:rsid w:val="003542D6"/>
    <w:rsid w:val="00354CA9"/>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658D"/>
    <w:rsid w:val="00366764"/>
    <w:rsid w:val="003704E3"/>
    <w:rsid w:val="00370A28"/>
    <w:rsid w:val="00371D57"/>
    <w:rsid w:val="00371FAA"/>
    <w:rsid w:val="0037212A"/>
    <w:rsid w:val="003721DA"/>
    <w:rsid w:val="00372D83"/>
    <w:rsid w:val="00372DF8"/>
    <w:rsid w:val="0037347F"/>
    <w:rsid w:val="00373699"/>
    <w:rsid w:val="00373CF8"/>
    <w:rsid w:val="00373F78"/>
    <w:rsid w:val="0037431B"/>
    <w:rsid w:val="00374399"/>
    <w:rsid w:val="0037493F"/>
    <w:rsid w:val="0037506A"/>
    <w:rsid w:val="0037560A"/>
    <w:rsid w:val="00376262"/>
    <w:rsid w:val="003763A1"/>
    <w:rsid w:val="003768E2"/>
    <w:rsid w:val="00377473"/>
    <w:rsid w:val="0037760E"/>
    <w:rsid w:val="003803E0"/>
    <w:rsid w:val="0038054C"/>
    <w:rsid w:val="003805D3"/>
    <w:rsid w:val="003809AF"/>
    <w:rsid w:val="00380B36"/>
    <w:rsid w:val="003817A7"/>
    <w:rsid w:val="003817C0"/>
    <w:rsid w:val="0038191F"/>
    <w:rsid w:val="003819CC"/>
    <w:rsid w:val="00381B0C"/>
    <w:rsid w:val="0038290A"/>
    <w:rsid w:val="00382D8D"/>
    <w:rsid w:val="00382F22"/>
    <w:rsid w:val="003830A8"/>
    <w:rsid w:val="00384541"/>
    <w:rsid w:val="00384797"/>
    <w:rsid w:val="00385049"/>
    <w:rsid w:val="00385214"/>
    <w:rsid w:val="003856C4"/>
    <w:rsid w:val="003864B1"/>
    <w:rsid w:val="00386623"/>
    <w:rsid w:val="00387F2F"/>
    <w:rsid w:val="003900C7"/>
    <w:rsid w:val="003902D5"/>
    <w:rsid w:val="00390746"/>
    <w:rsid w:val="00390CF9"/>
    <w:rsid w:val="00391C58"/>
    <w:rsid w:val="00391C9B"/>
    <w:rsid w:val="00392198"/>
    <w:rsid w:val="003929E1"/>
    <w:rsid w:val="00392D78"/>
    <w:rsid w:val="00393264"/>
    <w:rsid w:val="00395064"/>
    <w:rsid w:val="0039534D"/>
    <w:rsid w:val="003953C1"/>
    <w:rsid w:val="00395B6C"/>
    <w:rsid w:val="00395F8F"/>
    <w:rsid w:val="003968A6"/>
    <w:rsid w:val="00396BA3"/>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C7"/>
    <w:rsid w:val="003B496A"/>
    <w:rsid w:val="003B4CAA"/>
    <w:rsid w:val="003B5C91"/>
    <w:rsid w:val="003B5D58"/>
    <w:rsid w:val="003B5FA0"/>
    <w:rsid w:val="003B6047"/>
    <w:rsid w:val="003B64C0"/>
    <w:rsid w:val="003B692F"/>
    <w:rsid w:val="003B693F"/>
    <w:rsid w:val="003B6DEA"/>
    <w:rsid w:val="003B6ECC"/>
    <w:rsid w:val="003B7250"/>
    <w:rsid w:val="003B7835"/>
    <w:rsid w:val="003B79B9"/>
    <w:rsid w:val="003B7A6C"/>
    <w:rsid w:val="003B7E92"/>
    <w:rsid w:val="003C01AC"/>
    <w:rsid w:val="003C04A9"/>
    <w:rsid w:val="003C0975"/>
    <w:rsid w:val="003C0D77"/>
    <w:rsid w:val="003C0FEC"/>
    <w:rsid w:val="003C10E1"/>
    <w:rsid w:val="003C1852"/>
    <w:rsid w:val="003C1943"/>
    <w:rsid w:val="003C2214"/>
    <w:rsid w:val="003C2B5C"/>
    <w:rsid w:val="003C2E92"/>
    <w:rsid w:val="003C308E"/>
    <w:rsid w:val="003C32EE"/>
    <w:rsid w:val="003C4506"/>
    <w:rsid w:val="003C450C"/>
    <w:rsid w:val="003C4DB4"/>
    <w:rsid w:val="003C4E4D"/>
    <w:rsid w:val="003C5308"/>
    <w:rsid w:val="003C587C"/>
    <w:rsid w:val="003C62D9"/>
    <w:rsid w:val="003C6438"/>
    <w:rsid w:val="003C6D1D"/>
    <w:rsid w:val="003C6E27"/>
    <w:rsid w:val="003C6F87"/>
    <w:rsid w:val="003C7251"/>
    <w:rsid w:val="003C776C"/>
    <w:rsid w:val="003D02CD"/>
    <w:rsid w:val="003D2651"/>
    <w:rsid w:val="003D332D"/>
    <w:rsid w:val="003D3787"/>
    <w:rsid w:val="003D436D"/>
    <w:rsid w:val="003D4EC0"/>
    <w:rsid w:val="003D506A"/>
    <w:rsid w:val="003D5D06"/>
    <w:rsid w:val="003D5FD3"/>
    <w:rsid w:val="003D61B5"/>
    <w:rsid w:val="003D7F56"/>
    <w:rsid w:val="003E05D8"/>
    <w:rsid w:val="003E11AE"/>
    <w:rsid w:val="003E1D8E"/>
    <w:rsid w:val="003E28EB"/>
    <w:rsid w:val="003E3939"/>
    <w:rsid w:val="003E3AED"/>
    <w:rsid w:val="003E3B30"/>
    <w:rsid w:val="003E44E5"/>
    <w:rsid w:val="003E45D7"/>
    <w:rsid w:val="003E4D6F"/>
    <w:rsid w:val="003E53BB"/>
    <w:rsid w:val="003E54EB"/>
    <w:rsid w:val="003E551D"/>
    <w:rsid w:val="003E5A6B"/>
    <w:rsid w:val="003E65F5"/>
    <w:rsid w:val="003E69BA"/>
    <w:rsid w:val="003E7287"/>
    <w:rsid w:val="003E7437"/>
    <w:rsid w:val="003E7EE9"/>
    <w:rsid w:val="003E7FC1"/>
    <w:rsid w:val="003F088A"/>
    <w:rsid w:val="003F0F5F"/>
    <w:rsid w:val="003F1034"/>
    <w:rsid w:val="003F1EF0"/>
    <w:rsid w:val="003F3EA5"/>
    <w:rsid w:val="003F4461"/>
    <w:rsid w:val="003F4A0E"/>
    <w:rsid w:val="003F4D08"/>
    <w:rsid w:val="003F589D"/>
    <w:rsid w:val="003F58AF"/>
    <w:rsid w:val="003F5B6E"/>
    <w:rsid w:val="003F63C0"/>
    <w:rsid w:val="003F6728"/>
    <w:rsid w:val="003F6F4E"/>
    <w:rsid w:val="00400C56"/>
    <w:rsid w:val="00400F0F"/>
    <w:rsid w:val="004010B8"/>
    <w:rsid w:val="0040136C"/>
    <w:rsid w:val="00401663"/>
    <w:rsid w:val="0040181B"/>
    <w:rsid w:val="00401924"/>
    <w:rsid w:val="0040197F"/>
    <w:rsid w:val="00401C77"/>
    <w:rsid w:val="00401CBF"/>
    <w:rsid w:val="004021BD"/>
    <w:rsid w:val="00402838"/>
    <w:rsid w:val="00402E87"/>
    <w:rsid w:val="0040325C"/>
    <w:rsid w:val="00403A29"/>
    <w:rsid w:val="004043E9"/>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43CB"/>
    <w:rsid w:val="004147AC"/>
    <w:rsid w:val="0041488C"/>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201D8"/>
    <w:rsid w:val="00420950"/>
    <w:rsid w:val="00420F2A"/>
    <w:rsid w:val="004216A9"/>
    <w:rsid w:val="00421CA3"/>
    <w:rsid w:val="00421D14"/>
    <w:rsid w:val="00421FA5"/>
    <w:rsid w:val="004226FE"/>
    <w:rsid w:val="00422FBD"/>
    <w:rsid w:val="00423047"/>
    <w:rsid w:val="00423D5F"/>
    <w:rsid w:val="0042434D"/>
    <w:rsid w:val="00424E9C"/>
    <w:rsid w:val="00426EC6"/>
    <w:rsid w:val="00427176"/>
    <w:rsid w:val="00427682"/>
    <w:rsid w:val="004300A1"/>
    <w:rsid w:val="004301DA"/>
    <w:rsid w:val="00430527"/>
    <w:rsid w:val="00430C55"/>
    <w:rsid w:val="00430E26"/>
    <w:rsid w:val="00431920"/>
    <w:rsid w:val="00431DA5"/>
    <w:rsid w:val="00432187"/>
    <w:rsid w:val="004337B0"/>
    <w:rsid w:val="00433A7A"/>
    <w:rsid w:val="00433E14"/>
    <w:rsid w:val="00433F76"/>
    <w:rsid w:val="00433FB5"/>
    <w:rsid w:val="0043415F"/>
    <w:rsid w:val="00434298"/>
    <w:rsid w:val="004348BB"/>
    <w:rsid w:val="00434915"/>
    <w:rsid w:val="0043553A"/>
    <w:rsid w:val="00435568"/>
    <w:rsid w:val="00435E51"/>
    <w:rsid w:val="0043678A"/>
    <w:rsid w:val="004369B2"/>
    <w:rsid w:val="00437204"/>
    <w:rsid w:val="00437C25"/>
    <w:rsid w:val="00440955"/>
    <w:rsid w:val="00440EFA"/>
    <w:rsid w:val="004410A6"/>
    <w:rsid w:val="00441578"/>
    <w:rsid w:val="00441FB4"/>
    <w:rsid w:val="004422B4"/>
    <w:rsid w:val="0044260C"/>
    <w:rsid w:val="004427EB"/>
    <w:rsid w:val="00442906"/>
    <w:rsid w:val="00442B92"/>
    <w:rsid w:val="00442D9C"/>
    <w:rsid w:val="00443376"/>
    <w:rsid w:val="00443406"/>
    <w:rsid w:val="004435DE"/>
    <w:rsid w:val="00444A9D"/>
    <w:rsid w:val="00445640"/>
    <w:rsid w:val="00445B98"/>
    <w:rsid w:val="00445DF0"/>
    <w:rsid w:val="004462E1"/>
    <w:rsid w:val="00446423"/>
    <w:rsid w:val="00446689"/>
    <w:rsid w:val="00447067"/>
    <w:rsid w:val="0044716A"/>
    <w:rsid w:val="00450059"/>
    <w:rsid w:val="004502CD"/>
    <w:rsid w:val="004505AF"/>
    <w:rsid w:val="00450DE8"/>
    <w:rsid w:val="00450F98"/>
    <w:rsid w:val="004515C2"/>
    <w:rsid w:val="004518AF"/>
    <w:rsid w:val="00451D7E"/>
    <w:rsid w:val="00452273"/>
    <w:rsid w:val="004529BD"/>
    <w:rsid w:val="00453FF2"/>
    <w:rsid w:val="004540D9"/>
    <w:rsid w:val="004542FA"/>
    <w:rsid w:val="00455806"/>
    <w:rsid w:val="00455889"/>
    <w:rsid w:val="00455A8E"/>
    <w:rsid w:val="00455B5B"/>
    <w:rsid w:val="00456A1A"/>
    <w:rsid w:val="00456EB4"/>
    <w:rsid w:val="00456FF8"/>
    <w:rsid w:val="004577C1"/>
    <w:rsid w:val="00457F04"/>
    <w:rsid w:val="00460298"/>
    <w:rsid w:val="004611C1"/>
    <w:rsid w:val="004611C5"/>
    <w:rsid w:val="004613BA"/>
    <w:rsid w:val="0046146E"/>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749E"/>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E18"/>
    <w:rsid w:val="004855E0"/>
    <w:rsid w:val="00485942"/>
    <w:rsid w:val="00486160"/>
    <w:rsid w:val="0048675D"/>
    <w:rsid w:val="004871E4"/>
    <w:rsid w:val="00487CBD"/>
    <w:rsid w:val="00487DD1"/>
    <w:rsid w:val="00487F39"/>
    <w:rsid w:val="00490F6A"/>
    <w:rsid w:val="00491141"/>
    <w:rsid w:val="0049134B"/>
    <w:rsid w:val="00491ED9"/>
    <w:rsid w:val="00492332"/>
    <w:rsid w:val="00492339"/>
    <w:rsid w:val="00492994"/>
    <w:rsid w:val="004939D7"/>
    <w:rsid w:val="004944F8"/>
    <w:rsid w:val="00494CD6"/>
    <w:rsid w:val="004955D2"/>
    <w:rsid w:val="00495BB6"/>
    <w:rsid w:val="00496EF6"/>
    <w:rsid w:val="00496FEA"/>
    <w:rsid w:val="0049743B"/>
    <w:rsid w:val="00497579"/>
    <w:rsid w:val="00497C4D"/>
    <w:rsid w:val="00497DE4"/>
    <w:rsid w:val="004A074D"/>
    <w:rsid w:val="004A13F5"/>
    <w:rsid w:val="004A15B3"/>
    <w:rsid w:val="004A1709"/>
    <w:rsid w:val="004A1894"/>
    <w:rsid w:val="004A22EC"/>
    <w:rsid w:val="004A3038"/>
    <w:rsid w:val="004A336A"/>
    <w:rsid w:val="004A33CD"/>
    <w:rsid w:val="004A38B9"/>
    <w:rsid w:val="004A3F07"/>
    <w:rsid w:val="004A463F"/>
    <w:rsid w:val="004A4803"/>
    <w:rsid w:val="004A4E9A"/>
    <w:rsid w:val="004A6352"/>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6512"/>
    <w:rsid w:val="004B69B2"/>
    <w:rsid w:val="004B728F"/>
    <w:rsid w:val="004B75EC"/>
    <w:rsid w:val="004B782D"/>
    <w:rsid w:val="004B79A1"/>
    <w:rsid w:val="004B7A7A"/>
    <w:rsid w:val="004B7D0D"/>
    <w:rsid w:val="004C00EE"/>
    <w:rsid w:val="004C070C"/>
    <w:rsid w:val="004C1866"/>
    <w:rsid w:val="004C2776"/>
    <w:rsid w:val="004C2C08"/>
    <w:rsid w:val="004C33EB"/>
    <w:rsid w:val="004C36E3"/>
    <w:rsid w:val="004C3FF1"/>
    <w:rsid w:val="004C4033"/>
    <w:rsid w:val="004C45C6"/>
    <w:rsid w:val="004C462E"/>
    <w:rsid w:val="004C47BE"/>
    <w:rsid w:val="004C56BB"/>
    <w:rsid w:val="004C6B21"/>
    <w:rsid w:val="004C6D9C"/>
    <w:rsid w:val="004C6EDC"/>
    <w:rsid w:val="004C6F4C"/>
    <w:rsid w:val="004C74B7"/>
    <w:rsid w:val="004C794B"/>
    <w:rsid w:val="004C7EF3"/>
    <w:rsid w:val="004D0044"/>
    <w:rsid w:val="004D0C68"/>
    <w:rsid w:val="004D0C88"/>
    <w:rsid w:val="004D0D91"/>
    <w:rsid w:val="004D12C4"/>
    <w:rsid w:val="004D13EA"/>
    <w:rsid w:val="004D1EAB"/>
    <w:rsid w:val="004D257E"/>
    <w:rsid w:val="004D25AB"/>
    <w:rsid w:val="004D2E91"/>
    <w:rsid w:val="004D364A"/>
    <w:rsid w:val="004D402E"/>
    <w:rsid w:val="004D4249"/>
    <w:rsid w:val="004D494B"/>
    <w:rsid w:val="004D4A0F"/>
    <w:rsid w:val="004D5775"/>
    <w:rsid w:val="004D5948"/>
    <w:rsid w:val="004D595F"/>
    <w:rsid w:val="004D61A8"/>
    <w:rsid w:val="004D7133"/>
    <w:rsid w:val="004D796B"/>
    <w:rsid w:val="004D7C38"/>
    <w:rsid w:val="004D7FBF"/>
    <w:rsid w:val="004E0578"/>
    <w:rsid w:val="004E0F0B"/>
    <w:rsid w:val="004E1324"/>
    <w:rsid w:val="004E1360"/>
    <w:rsid w:val="004E1471"/>
    <w:rsid w:val="004E1996"/>
    <w:rsid w:val="004E1F08"/>
    <w:rsid w:val="004E1F6F"/>
    <w:rsid w:val="004E2151"/>
    <w:rsid w:val="004E2885"/>
    <w:rsid w:val="004E39F9"/>
    <w:rsid w:val="004E4050"/>
    <w:rsid w:val="004E420B"/>
    <w:rsid w:val="004E499F"/>
    <w:rsid w:val="004E4B8A"/>
    <w:rsid w:val="004E51BB"/>
    <w:rsid w:val="004E5B01"/>
    <w:rsid w:val="004E5C74"/>
    <w:rsid w:val="004E67B3"/>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171"/>
    <w:rsid w:val="005003A6"/>
    <w:rsid w:val="005004AB"/>
    <w:rsid w:val="005018AB"/>
    <w:rsid w:val="00501909"/>
    <w:rsid w:val="00501910"/>
    <w:rsid w:val="005019C1"/>
    <w:rsid w:val="005024FD"/>
    <w:rsid w:val="00502D8B"/>
    <w:rsid w:val="0050331E"/>
    <w:rsid w:val="005033CE"/>
    <w:rsid w:val="00503555"/>
    <w:rsid w:val="00503F0A"/>
    <w:rsid w:val="00504107"/>
    <w:rsid w:val="00504599"/>
    <w:rsid w:val="00504809"/>
    <w:rsid w:val="00505DBD"/>
    <w:rsid w:val="00505F18"/>
    <w:rsid w:val="0050677F"/>
    <w:rsid w:val="00506D13"/>
    <w:rsid w:val="00507464"/>
    <w:rsid w:val="005079FD"/>
    <w:rsid w:val="00507A51"/>
    <w:rsid w:val="00507F92"/>
    <w:rsid w:val="0051067B"/>
    <w:rsid w:val="00510E64"/>
    <w:rsid w:val="005115D6"/>
    <w:rsid w:val="0051170F"/>
    <w:rsid w:val="00511AB2"/>
    <w:rsid w:val="00511C1D"/>
    <w:rsid w:val="005120D4"/>
    <w:rsid w:val="0051385A"/>
    <w:rsid w:val="0051396A"/>
    <w:rsid w:val="00513985"/>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818"/>
    <w:rsid w:val="00536947"/>
    <w:rsid w:val="00536B0B"/>
    <w:rsid w:val="00536F59"/>
    <w:rsid w:val="00537221"/>
    <w:rsid w:val="00537C6B"/>
    <w:rsid w:val="00537D53"/>
    <w:rsid w:val="005401F3"/>
    <w:rsid w:val="00540D24"/>
    <w:rsid w:val="00540D34"/>
    <w:rsid w:val="0054138E"/>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1042"/>
    <w:rsid w:val="0056196B"/>
    <w:rsid w:val="00561FD9"/>
    <w:rsid w:val="005622AB"/>
    <w:rsid w:val="005628D2"/>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1344"/>
    <w:rsid w:val="00571A0D"/>
    <w:rsid w:val="00571EAB"/>
    <w:rsid w:val="0057259D"/>
    <w:rsid w:val="005727D4"/>
    <w:rsid w:val="00573021"/>
    <w:rsid w:val="005735FC"/>
    <w:rsid w:val="00573616"/>
    <w:rsid w:val="00573F6C"/>
    <w:rsid w:val="00574623"/>
    <w:rsid w:val="00574BB1"/>
    <w:rsid w:val="00574BBB"/>
    <w:rsid w:val="00574BEC"/>
    <w:rsid w:val="00575688"/>
    <w:rsid w:val="005756A5"/>
    <w:rsid w:val="0057598D"/>
    <w:rsid w:val="00575F02"/>
    <w:rsid w:val="00576498"/>
    <w:rsid w:val="005765DB"/>
    <w:rsid w:val="00580044"/>
    <w:rsid w:val="00580134"/>
    <w:rsid w:val="00581EB2"/>
    <w:rsid w:val="00582103"/>
    <w:rsid w:val="0058254D"/>
    <w:rsid w:val="00582880"/>
    <w:rsid w:val="00582C08"/>
    <w:rsid w:val="00582C70"/>
    <w:rsid w:val="0058315D"/>
    <w:rsid w:val="00583185"/>
    <w:rsid w:val="0058374D"/>
    <w:rsid w:val="00584123"/>
    <w:rsid w:val="00584668"/>
    <w:rsid w:val="00585959"/>
    <w:rsid w:val="00585BC2"/>
    <w:rsid w:val="005867E7"/>
    <w:rsid w:val="00586AB8"/>
    <w:rsid w:val="00586C93"/>
    <w:rsid w:val="005873EB"/>
    <w:rsid w:val="00587A22"/>
    <w:rsid w:val="00590296"/>
    <w:rsid w:val="00590F88"/>
    <w:rsid w:val="005913D1"/>
    <w:rsid w:val="00591597"/>
    <w:rsid w:val="00591864"/>
    <w:rsid w:val="0059249C"/>
    <w:rsid w:val="00592E75"/>
    <w:rsid w:val="0059425A"/>
    <w:rsid w:val="005945C8"/>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4830"/>
    <w:rsid w:val="005A486A"/>
    <w:rsid w:val="005A4E0A"/>
    <w:rsid w:val="005A4FB1"/>
    <w:rsid w:val="005A54B6"/>
    <w:rsid w:val="005A54E0"/>
    <w:rsid w:val="005A75AD"/>
    <w:rsid w:val="005A79B9"/>
    <w:rsid w:val="005A7BC0"/>
    <w:rsid w:val="005A7D62"/>
    <w:rsid w:val="005A7E6C"/>
    <w:rsid w:val="005B0A78"/>
    <w:rsid w:val="005B0B58"/>
    <w:rsid w:val="005B188F"/>
    <w:rsid w:val="005B3B4E"/>
    <w:rsid w:val="005B4004"/>
    <w:rsid w:val="005B5169"/>
    <w:rsid w:val="005B51B2"/>
    <w:rsid w:val="005B53EB"/>
    <w:rsid w:val="005B5CC2"/>
    <w:rsid w:val="005B5E66"/>
    <w:rsid w:val="005B5F0A"/>
    <w:rsid w:val="005B63EF"/>
    <w:rsid w:val="005B66AD"/>
    <w:rsid w:val="005B6725"/>
    <w:rsid w:val="005B79CA"/>
    <w:rsid w:val="005B7C50"/>
    <w:rsid w:val="005B7DDF"/>
    <w:rsid w:val="005C0F96"/>
    <w:rsid w:val="005C202C"/>
    <w:rsid w:val="005C280E"/>
    <w:rsid w:val="005C29F8"/>
    <w:rsid w:val="005C2BA4"/>
    <w:rsid w:val="005C362A"/>
    <w:rsid w:val="005C3BB5"/>
    <w:rsid w:val="005C3DF6"/>
    <w:rsid w:val="005C4208"/>
    <w:rsid w:val="005C4311"/>
    <w:rsid w:val="005C50DB"/>
    <w:rsid w:val="005C6000"/>
    <w:rsid w:val="005C6BF5"/>
    <w:rsid w:val="005C6DCB"/>
    <w:rsid w:val="005C7E7C"/>
    <w:rsid w:val="005D0690"/>
    <w:rsid w:val="005D18BE"/>
    <w:rsid w:val="005D27F7"/>
    <w:rsid w:val="005D296B"/>
    <w:rsid w:val="005D2BAC"/>
    <w:rsid w:val="005D2BDF"/>
    <w:rsid w:val="005D2DDB"/>
    <w:rsid w:val="005D3F8B"/>
    <w:rsid w:val="005D4362"/>
    <w:rsid w:val="005D5131"/>
    <w:rsid w:val="005D5508"/>
    <w:rsid w:val="005D604C"/>
    <w:rsid w:val="005D6713"/>
    <w:rsid w:val="005D6D24"/>
    <w:rsid w:val="005D6EB4"/>
    <w:rsid w:val="005D7714"/>
    <w:rsid w:val="005E00AD"/>
    <w:rsid w:val="005E0303"/>
    <w:rsid w:val="005E05A2"/>
    <w:rsid w:val="005E0706"/>
    <w:rsid w:val="005E1087"/>
    <w:rsid w:val="005E127B"/>
    <w:rsid w:val="005E2440"/>
    <w:rsid w:val="005E34E0"/>
    <w:rsid w:val="005E5083"/>
    <w:rsid w:val="005E59DB"/>
    <w:rsid w:val="005E6AE6"/>
    <w:rsid w:val="005E70DD"/>
    <w:rsid w:val="005E7410"/>
    <w:rsid w:val="005E751A"/>
    <w:rsid w:val="005F00C3"/>
    <w:rsid w:val="005F0A05"/>
    <w:rsid w:val="005F0D3B"/>
    <w:rsid w:val="005F1C33"/>
    <w:rsid w:val="005F28F5"/>
    <w:rsid w:val="005F2D87"/>
    <w:rsid w:val="005F2FF9"/>
    <w:rsid w:val="005F3399"/>
    <w:rsid w:val="005F408F"/>
    <w:rsid w:val="005F442C"/>
    <w:rsid w:val="005F5010"/>
    <w:rsid w:val="005F5514"/>
    <w:rsid w:val="005F55A1"/>
    <w:rsid w:val="005F5EDD"/>
    <w:rsid w:val="005F5FE9"/>
    <w:rsid w:val="005F6116"/>
    <w:rsid w:val="005F61B8"/>
    <w:rsid w:val="005F6328"/>
    <w:rsid w:val="005F7457"/>
    <w:rsid w:val="005F7CB9"/>
    <w:rsid w:val="00600C5D"/>
    <w:rsid w:val="00600E15"/>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DB"/>
    <w:rsid w:val="00612978"/>
    <w:rsid w:val="00612B24"/>
    <w:rsid w:val="006133A3"/>
    <w:rsid w:val="00613CEA"/>
    <w:rsid w:val="00613D6A"/>
    <w:rsid w:val="006148DA"/>
    <w:rsid w:val="00614B2B"/>
    <w:rsid w:val="00614E43"/>
    <w:rsid w:val="00615548"/>
    <w:rsid w:val="00615BD0"/>
    <w:rsid w:val="006164AF"/>
    <w:rsid w:val="006164C9"/>
    <w:rsid w:val="00616510"/>
    <w:rsid w:val="00616AB4"/>
    <w:rsid w:val="00616AF8"/>
    <w:rsid w:val="00616BA4"/>
    <w:rsid w:val="00616E19"/>
    <w:rsid w:val="00617714"/>
    <w:rsid w:val="00617B8B"/>
    <w:rsid w:val="00617F81"/>
    <w:rsid w:val="00620267"/>
    <w:rsid w:val="006203BF"/>
    <w:rsid w:val="00620A1E"/>
    <w:rsid w:val="006210B5"/>
    <w:rsid w:val="006217DF"/>
    <w:rsid w:val="00621E9E"/>
    <w:rsid w:val="006221A4"/>
    <w:rsid w:val="00622F65"/>
    <w:rsid w:val="006234B7"/>
    <w:rsid w:val="00623954"/>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65"/>
    <w:rsid w:val="00633044"/>
    <w:rsid w:val="006332DC"/>
    <w:rsid w:val="006335E9"/>
    <w:rsid w:val="0063426D"/>
    <w:rsid w:val="006342FA"/>
    <w:rsid w:val="0063434A"/>
    <w:rsid w:val="00634AD8"/>
    <w:rsid w:val="00635026"/>
    <w:rsid w:val="00635660"/>
    <w:rsid w:val="006357C5"/>
    <w:rsid w:val="006359CF"/>
    <w:rsid w:val="00635E50"/>
    <w:rsid w:val="00636061"/>
    <w:rsid w:val="0063655B"/>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FF1"/>
    <w:rsid w:val="00642FFD"/>
    <w:rsid w:val="0064369A"/>
    <w:rsid w:val="00643D78"/>
    <w:rsid w:val="00644A3A"/>
    <w:rsid w:val="00644AC8"/>
    <w:rsid w:val="0064501C"/>
    <w:rsid w:val="00645750"/>
    <w:rsid w:val="006457D1"/>
    <w:rsid w:val="00646642"/>
    <w:rsid w:val="00646E42"/>
    <w:rsid w:val="006470C4"/>
    <w:rsid w:val="0064716E"/>
    <w:rsid w:val="0064778E"/>
    <w:rsid w:val="006478FC"/>
    <w:rsid w:val="006479A2"/>
    <w:rsid w:val="00647F29"/>
    <w:rsid w:val="00650385"/>
    <w:rsid w:val="00650524"/>
    <w:rsid w:val="00650873"/>
    <w:rsid w:val="00650E5B"/>
    <w:rsid w:val="00651E83"/>
    <w:rsid w:val="00652135"/>
    <w:rsid w:val="006536FF"/>
    <w:rsid w:val="00653B49"/>
    <w:rsid w:val="00653D42"/>
    <w:rsid w:val="006543C8"/>
    <w:rsid w:val="0065474E"/>
    <w:rsid w:val="00654A4B"/>
    <w:rsid w:val="0065503C"/>
    <w:rsid w:val="006550C3"/>
    <w:rsid w:val="006555C2"/>
    <w:rsid w:val="00655C91"/>
    <w:rsid w:val="00655F47"/>
    <w:rsid w:val="0065643A"/>
    <w:rsid w:val="00657135"/>
    <w:rsid w:val="00660173"/>
    <w:rsid w:val="006603CA"/>
    <w:rsid w:val="006618C8"/>
    <w:rsid w:val="006620B0"/>
    <w:rsid w:val="006620F3"/>
    <w:rsid w:val="00662806"/>
    <w:rsid w:val="00664D35"/>
    <w:rsid w:val="00665097"/>
    <w:rsid w:val="00665E2F"/>
    <w:rsid w:val="00665E66"/>
    <w:rsid w:val="00666042"/>
    <w:rsid w:val="00667704"/>
    <w:rsid w:val="00667B66"/>
    <w:rsid w:val="00670C09"/>
    <w:rsid w:val="00671E7A"/>
    <w:rsid w:val="006728F7"/>
    <w:rsid w:val="00672CF2"/>
    <w:rsid w:val="00672EE9"/>
    <w:rsid w:val="006736C1"/>
    <w:rsid w:val="006737FF"/>
    <w:rsid w:val="00673813"/>
    <w:rsid w:val="00674187"/>
    <w:rsid w:val="006746B1"/>
    <w:rsid w:val="006748D9"/>
    <w:rsid w:val="00674A5C"/>
    <w:rsid w:val="0067614F"/>
    <w:rsid w:val="00676225"/>
    <w:rsid w:val="00676431"/>
    <w:rsid w:val="006765F7"/>
    <w:rsid w:val="0067663D"/>
    <w:rsid w:val="006766B1"/>
    <w:rsid w:val="00676950"/>
    <w:rsid w:val="006771AA"/>
    <w:rsid w:val="00677BB1"/>
    <w:rsid w:val="00677C8C"/>
    <w:rsid w:val="006800AF"/>
    <w:rsid w:val="00680330"/>
    <w:rsid w:val="00680720"/>
    <w:rsid w:val="00681631"/>
    <w:rsid w:val="00681B2A"/>
    <w:rsid w:val="00681BA6"/>
    <w:rsid w:val="006822BE"/>
    <w:rsid w:val="006833AD"/>
    <w:rsid w:val="00683CF6"/>
    <w:rsid w:val="00684B51"/>
    <w:rsid w:val="00684EE4"/>
    <w:rsid w:val="00685039"/>
    <w:rsid w:val="006856E6"/>
    <w:rsid w:val="00685BA9"/>
    <w:rsid w:val="00686ABE"/>
    <w:rsid w:val="00686D7F"/>
    <w:rsid w:val="00686E2E"/>
    <w:rsid w:val="006879FA"/>
    <w:rsid w:val="006904CC"/>
    <w:rsid w:val="006905C9"/>
    <w:rsid w:val="00690A61"/>
    <w:rsid w:val="00690AC9"/>
    <w:rsid w:val="00691390"/>
    <w:rsid w:val="00691ABA"/>
    <w:rsid w:val="0069207F"/>
    <w:rsid w:val="00692B95"/>
    <w:rsid w:val="006936D7"/>
    <w:rsid w:val="006938D2"/>
    <w:rsid w:val="00693A7B"/>
    <w:rsid w:val="00694372"/>
    <w:rsid w:val="00694A39"/>
    <w:rsid w:val="00694EEA"/>
    <w:rsid w:val="00695A84"/>
    <w:rsid w:val="00695D78"/>
    <w:rsid w:val="00696E62"/>
    <w:rsid w:val="0069727E"/>
    <w:rsid w:val="006972BA"/>
    <w:rsid w:val="006973EB"/>
    <w:rsid w:val="00697434"/>
    <w:rsid w:val="006A01BD"/>
    <w:rsid w:val="006A02EA"/>
    <w:rsid w:val="006A08B4"/>
    <w:rsid w:val="006A11BE"/>
    <w:rsid w:val="006A28DE"/>
    <w:rsid w:val="006A36C0"/>
    <w:rsid w:val="006A3AA9"/>
    <w:rsid w:val="006A3B84"/>
    <w:rsid w:val="006A417F"/>
    <w:rsid w:val="006A44D8"/>
    <w:rsid w:val="006A451B"/>
    <w:rsid w:val="006A4596"/>
    <w:rsid w:val="006A5203"/>
    <w:rsid w:val="006A5881"/>
    <w:rsid w:val="006A72FD"/>
    <w:rsid w:val="006A7CCA"/>
    <w:rsid w:val="006A7DB5"/>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B39"/>
    <w:rsid w:val="006C6D4D"/>
    <w:rsid w:val="006C7125"/>
    <w:rsid w:val="006D0A52"/>
    <w:rsid w:val="006D117B"/>
    <w:rsid w:val="006D16E4"/>
    <w:rsid w:val="006D1A2B"/>
    <w:rsid w:val="006D20B0"/>
    <w:rsid w:val="006D21A8"/>
    <w:rsid w:val="006D3BD7"/>
    <w:rsid w:val="006D437F"/>
    <w:rsid w:val="006D44DC"/>
    <w:rsid w:val="006D4F8F"/>
    <w:rsid w:val="006D5982"/>
    <w:rsid w:val="006D5A8B"/>
    <w:rsid w:val="006D5C56"/>
    <w:rsid w:val="006D5DC4"/>
    <w:rsid w:val="006D5E8D"/>
    <w:rsid w:val="006D5ECB"/>
    <w:rsid w:val="006D650D"/>
    <w:rsid w:val="006D685F"/>
    <w:rsid w:val="006D7047"/>
    <w:rsid w:val="006D741F"/>
    <w:rsid w:val="006D77A0"/>
    <w:rsid w:val="006D7D0C"/>
    <w:rsid w:val="006D7F77"/>
    <w:rsid w:val="006E0CC6"/>
    <w:rsid w:val="006E1738"/>
    <w:rsid w:val="006E1A87"/>
    <w:rsid w:val="006E2B53"/>
    <w:rsid w:val="006E2BBB"/>
    <w:rsid w:val="006E2D94"/>
    <w:rsid w:val="006E3226"/>
    <w:rsid w:val="006E3F55"/>
    <w:rsid w:val="006E4B85"/>
    <w:rsid w:val="006E52F6"/>
    <w:rsid w:val="006E5A3F"/>
    <w:rsid w:val="006E5AE4"/>
    <w:rsid w:val="006E60EA"/>
    <w:rsid w:val="006E6280"/>
    <w:rsid w:val="006F0B24"/>
    <w:rsid w:val="006F0FFF"/>
    <w:rsid w:val="006F1DE4"/>
    <w:rsid w:val="006F2250"/>
    <w:rsid w:val="006F2592"/>
    <w:rsid w:val="006F2A7D"/>
    <w:rsid w:val="006F3531"/>
    <w:rsid w:val="006F391E"/>
    <w:rsid w:val="006F3C93"/>
    <w:rsid w:val="006F4307"/>
    <w:rsid w:val="006F4BF7"/>
    <w:rsid w:val="006F5957"/>
    <w:rsid w:val="006F6351"/>
    <w:rsid w:val="006F6B8F"/>
    <w:rsid w:val="0070083E"/>
    <w:rsid w:val="00700E96"/>
    <w:rsid w:val="00700FD9"/>
    <w:rsid w:val="00701B5B"/>
    <w:rsid w:val="00702A40"/>
    <w:rsid w:val="00702CFF"/>
    <w:rsid w:val="00703FA0"/>
    <w:rsid w:val="00704B70"/>
    <w:rsid w:val="00704C17"/>
    <w:rsid w:val="00704E6A"/>
    <w:rsid w:val="007057AB"/>
    <w:rsid w:val="007059B2"/>
    <w:rsid w:val="007072DC"/>
    <w:rsid w:val="00707AF3"/>
    <w:rsid w:val="00707D22"/>
    <w:rsid w:val="0071007C"/>
    <w:rsid w:val="0071022D"/>
    <w:rsid w:val="007104B6"/>
    <w:rsid w:val="00710CAA"/>
    <w:rsid w:val="00711473"/>
    <w:rsid w:val="007122B2"/>
    <w:rsid w:val="00712877"/>
    <w:rsid w:val="007134D3"/>
    <w:rsid w:val="007135ED"/>
    <w:rsid w:val="0071385D"/>
    <w:rsid w:val="00713B92"/>
    <w:rsid w:val="007146BE"/>
    <w:rsid w:val="00714F02"/>
    <w:rsid w:val="00715CA8"/>
    <w:rsid w:val="00715E1E"/>
    <w:rsid w:val="007164C1"/>
    <w:rsid w:val="00716EB9"/>
    <w:rsid w:val="00717580"/>
    <w:rsid w:val="00717710"/>
    <w:rsid w:val="00720099"/>
    <w:rsid w:val="007200FD"/>
    <w:rsid w:val="0072060C"/>
    <w:rsid w:val="00720AC8"/>
    <w:rsid w:val="00721FDA"/>
    <w:rsid w:val="007227E3"/>
    <w:rsid w:val="007239EC"/>
    <w:rsid w:val="00723A08"/>
    <w:rsid w:val="007243CE"/>
    <w:rsid w:val="00724BCB"/>
    <w:rsid w:val="00724E03"/>
    <w:rsid w:val="00724EC4"/>
    <w:rsid w:val="00724F2E"/>
    <w:rsid w:val="00725433"/>
    <w:rsid w:val="007257BA"/>
    <w:rsid w:val="00725955"/>
    <w:rsid w:val="00725A32"/>
    <w:rsid w:val="007262AD"/>
    <w:rsid w:val="007270F5"/>
    <w:rsid w:val="00727644"/>
    <w:rsid w:val="00727E58"/>
    <w:rsid w:val="007303FE"/>
    <w:rsid w:val="0073090D"/>
    <w:rsid w:val="00730C62"/>
    <w:rsid w:val="007312B2"/>
    <w:rsid w:val="00731E72"/>
    <w:rsid w:val="0073226E"/>
    <w:rsid w:val="007327EA"/>
    <w:rsid w:val="00733048"/>
    <w:rsid w:val="007341C1"/>
    <w:rsid w:val="00734221"/>
    <w:rsid w:val="0073456C"/>
    <w:rsid w:val="0073461B"/>
    <w:rsid w:val="007350F7"/>
    <w:rsid w:val="007362A1"/>
    <w:rsid w:val="00736620"/>
    <w:rsid w:val="00736AE6"/>
    <w:rsid w:val="00736E83"/>
    <w:rsid w:val="00737087"/>
    <w:rsid w:val="00740CBC"/>
    <w:rsid w:val="007413DC"/>
    <w:rsid w:val="0074189E"/>
    <w:rsid w:val="007419A9"/>
    <w:rsid w:val="007419E3"/>
    <w:rsid w:val="00741A36"/>
    <w:rsid w:val="00742A9D"/>
    <w:rsid w:val="00742DCB"/>
    <w:rsid w:val="00742E14"/>
    <w:rsid w:val="00742F8B"/>
    <w:rsid w:val="00743643"/>
    <w:rsid w:val="00743759"/>
    <w:rsid w:val="00743EED"/>
    <w:rsid w:val="00744152"/>
    <w:rsid w:val="0074473E"/>
    <w:rsid w:val="0074520E"/>
    <w:rsid w:val="00745BF1"/>
    <w:rsid w:val="0074762E"/>
    <w:rsid w:val="00747DFB"/>
    <w:rsid w:val="007504AA"/>
    <w:rsid w:val="00750CD5"/>
    <w:rsid w:val="00751BFA"/>
    <w:rsid w:val="007524CC"/>
    <w:rsid w:val="007529F4"/>
    <w:rsid w:val="00752BAF"/>
    <w:rsid w:val="00752D76"/>
    <w:rsid w:val="00752EFE"/>
    <w:rsid w:val="00752FA3"/>
    <w:rsid w:val="0075451F"/>
    <w:rsid w:val="007545B3"/>
    <w:rsid w:val="00755AF7"/>
    <w:rsid w:val="0075626F"/>
    <w:rsid w:val="00756827"/>
    <w:rsid w:val="00756ABA"/>
    <w:rsid w:val="00756B33"/>
    <w:rsid w:val="00757054"/>
    <w:rsid w:val="00757B8A"/>
    <w:rsid w:val="00757D21"/>
    <w:rsid w:val="0076014E"/>
    <w:rsid w:val="007605BB"/>
    <w:rsid w:val="00760C8C"/>
    <w:rsid w:val="007617A4"/>
    <w:rsid w:val="00762DE8"/>
    <w:rsid w:val="0076314D"/>
    <w:rsid w:val="007631DD"/>
    <w:rsid w:val="00763780"/>
    <w:rsid w:val="007637D6"/>
    <w:rsid w:val="007639D7"/>
    <w:rsid w:val="00763C24"/>
    <w:rsid w:val="00763F84"/>
    <w:rsid w:val="00764DDE"/>
    <w:rsid w:val="00764FE1"/>
    <w:rsid w:val="00767A2B"/>
    <w:rsid w:val="007703CC"/>
    <w:rsid w:val="00770816"/>
    <w:rsid w:val="007709B9"/>
    <w:rsid w:val="00770AF9"/>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65EF"/>
    <w:rsid w:val="007767D3"/>
    <w:rsid w:val="00776DD1"/>
    <w:rsid w:val="00776F26"/>
    <w:rsid w:val="0077712B"/>
    <w:rsid w:val="0077753E"/>
    <w:rsid w:val="00777946"/>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806"/>
    <w:rsid w:val="0078594A"/>
    <w:rsid w:val="007870F8"/>
    <w:rsid w:val="007874BB"/>
    <w:rsid w:val="00787AEB"/>
    <w:rsid w:val="007905E6"/>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A00C1"/>
    <w:rsid w:val="007A0221"/>
    <w:rsid w:val="007A1398"/>
    <w:rsid w:val="007A1B2A"/>
    <w:rsid w:val="007A2822"/>
    <w:rsid w:val="007A35E2"/>
    <w:rsid w:val="007A3964"/>
    <w:rsid w:val="007A3A34"/>
    <w:rsid w:val="007A467C"/>
    <w:rsid w:val="007A470E"/>
    <w:rsid w:val="007A59A7"/>
    <w:rsid w:val="007A5B01"/>
    <w:rsid w:val="007A5B63"/>
    <w:rsid w:val="007A5BA6"/>
    <w:rsid w:val="007A5EC1"/>
    <w:rsid w:val="007A62B9"/>
    <w:rsid w:val="007A6310"/>
    <w:rsid w:val="007A644D"/>
    <w:rsid w:val="007A6818"/>
    <w:rsid w:val="007A715D"/>
    <w:rsid w:val="007A7E81"/>
    <w:rsid w:val="007A7E93"/>
    <w:rsid w:val="007B0A26"/>
    <w:rsid w:val="007B1221"/>
    <w:rsid w:val="007B1B7E"/>
    <w:rsid w:val="007B1DB7"/>
    <w:rsid w:val="007B2B8D"/>
    <w:rsid w:val="007B35BE"/>
    <w:rsid w:val="007B46BF"/>
    <w:rsid w:val="007B5383"/>
    <w:rsid w:val="007B6017"/>
    <w:rsid w:val="007B61E6"/>
    <w:rsid w:val="007B69ED"/>
    <w:rsid w:val="007B6B98"/>
    <w:rsid w:val="007B7736"/>
    <w:rsid w:val="007B78ED"/>
    <w:rsid w:val="007B7ACE"/>
    <w:rsid w:val="007B7D25"/>
    <w:rsid w:val="007C0107"/>
    <w:rsid w:val="007C0E6F"/>
    <w:rsid w:val="007C139C"/>
    <w:rsid w:val="007C1AC4"/>
    <w:rsid w:val="007C1BCF"/>
    <w:rsid w:val="007C1FC9"/>
    <w:rsid w:val="007C2607"/>
    <w:rsid w:val="007C29FA"/>
    <w:rsid w:val="007C2ABB"/>
    <w:rsid w:val="007C2BE4"/>
    <w:rsid w:val="007C3C89"/>
    <w:rsid w:val="007C3E25"/>
    <w:rsid w:val="007C4262"/>
    <w:rsid w:val="007C4B0E"/>
    <w:rsid w:val="007C5CB2"/>
    <w:rsid w:val="007C66BF"/>
    <w:rsid w:val="007C67E2"/>
    <w:rsid w:val="007C7971"/>
    <w:rsid w:val="007C7DFF"/>
    <w:rsid w:val="007C7E17"/>
    <w:rsid w:val="007D01BC"/>
    <w:rsid w:val="007D100A"/>
    <w:rsid w:val="007D1137"/>
    <w:rsid w:val="007D116C"/>
    <w:rsid w:val="007D12EA"/>
    <w:rsid w:val="007D156B"/>
    <w:rsid w:val="007D168C"/>
    <w:rsid w:val="007D219D"/>
    <w:rsid w:val="007D2F92"/>
    <w:rsid w:val="007D374D"/>
    <w:rsid w:val="007D3D18"/>
    <w:rsid w:val="007D3F55"/>
    <w:rsid w:val="007D4253"/>
    <w:rsid w:val="007D433F"/>
    <w:rsid w:val="007D435F"/>
    <w:rsid w:val="007D527A"/>
    <w:rsid w:val="007D5D8B"/>
    <w:rsid w:val="007D5FA6"/>
    <w:rsid w:val="007D64C9"/>
    <w:rsid w:val="007D6635"/>
    <w:rsid w:val="007D6BB1"/>
    <w:rsid w:val="007D755C"/>
    <w:rsid w:val="007D798F"/>
    <w:rsid w:val="007D7A20"/>
    <w:rsid w:val="007E0A04"/>
    <w:rsid w:val="007E10E7"/>
    <w:rsid w:val="007E1738"/>
    <w:rsid w:val="007E1791"/>
    <w:rsid w:val="007E1833"/>
    <w:rsid w:val="007E2779"/>
    <w:rsid w:val="007E3073"/>
    <w:rsid w:val="007E3B19"/>
    <w:rsid w:val="007E4314"/>
    <w:rsid w:val="007E4572"/>
    <w:rsid w:val="007E4BE9"/>
    <w:rsid w:val="007E4BF2"/>
    <w:rsid w:val="007E5038"/>
    <w:rsid w:val="007E57D2"/>
    <w:rsid w:val="007E58E3"/>
    <w:rsid w:val="007E5E5B"/>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5071"/>
    <w:rsid w:val="007F50EE"/>
    <w:rsid w:val="007F53F1"/>
    <w:rsid w:val="007F5604"/>
    <w:rsid w:val="007F6192"/>
    <w:rsid w:val="007F6756"/>
    <w:rsid w:val="007F67A9"/>
    <w:rsid w:val="007F67C7"/>
    <w:rsid w:val="007F6AFF"/>
    <w:rsid w:val="007F7063"/>
    <w:rsid w:val="007F7E44"/>
    <w:rsid w:val="007F7FF8"/>
    <w:rsid w:val="00802665"/>
    <w:rsid w:val="00802A46"/>
    <w:rsid w:val="00803155"/>
    <w:rsid w:val="00803CFD"/>
    <w:rsid w:val="00803FBB"/>
    <w:rsid w:val="0080439F"/>
    <w:rsid w:val="008043A8"/>
    <w:rsid w:val="00805DD3"/>
    <w:rsid w:val="00805F54"/>
    <w:rsid w:val="00806AE6"/>
    <w:rsid w:val="00806C75"/>
    <w:rsid w:val="008078DE"/>
    <w:rsid w:val="00807AD3"/>
    <w:rsid w:val="008108AC"/>
    <w:rsid w:val="008115FD"/>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D00"/>
    <w:rsid w:val="00825455"/>
    <w:rsid w:val="00825520"/>
    <w:rsid w:val="0082560D"/>
    <w:rsid w:val="0082568C"/>
    <w:rsid w:val="0082574D"/>
    <w:rsid w:val="00825D03"/>
    <w:rsid w:val="00825F7C"/>
    <w:rsid w:val="00826A26"/>
    <w:rsid w:val="00826CF1"/>
    <w:rsid w:val="00826D36"/>
    <w:rsid w:val="00827192"/>
    <w:rsid w:val="00827EE7"/>
    <w:rsid w:val="00827FF4"/>
    <w:rsid w:val="00830159"/>
    <w:rsid w:val="00830178"/>
    <w:rsid w:val="00831025"/>
    <w:rsid w:val="00831752"/>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4082F"/>
    <w:rsid w:val="00841302"/>
    <w:rsid w:val="00841CCE"/>
    <w:rsid w:val="008438DC"/>
    <w:rsid w:val="00843E0F"/>
    <w:rsid w:val="008446B4"/>
    <w:rsid w:val="00844ADE"/>
    <w:rsid w:val="00844FD2"/>
    <w:rsid w:val="00845096"/>
    <w:rsid w:val="00845242"/>
    <w:rsid w:val="00845C0C"/>
    <w:rsid w:val="00846055"/>
    <w:rsid w:val="0084674B"/>
    <w:rsid w:val="008469C7"/>
    <w:rsid w:val="00846D41"/>
    <w:rsid w:val="00846E78"/>
    <w:rsid w:val="0084727C"/>
    <w:rsid w:val="0084736E"/>
    <w:rsid w:val="008474CD"/>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627F"/>
    <w:rsid w:val="00856344"/>
    <w:rsid w:val="008567C0"/>
    <w:rsid w:val="00856A9E"/>
    <w:rsid w:val="00856B0E"/>
    <w:rsid w:val="00856BA3"/>
    <w:rsid w:val="00856C4E"/>
    <w:rsid w:val="00856DE7"/>
    <w:rsid w:val="008579DB"/>
    <w:rsid w:val="00857B7C"/>
    <w:rsid w:val="00857C39"/>
    <w:rsid w:val="00857E4F"/>
    <w:rsid w:val="00861035"/>
    <w:rsid w:val="008610A8"/>
    <w:rsid w:val="00861D31"/>
    <w:rsid w:val="00861FBA"/>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F1"/>
    <w:rsid w:val="00865331"/>
    <w:rsid w:val="008657CA"/>
    <w:rsid w:val="00865DD5"/>
    <w:rsid w:val="0086649A"/>
    <w:rsid w:val="008667B9"/>
    <w:rsid w:val="00866B4D"/>
    <w:rsid w:val="00866DC4"/>
    <w:rsid w:val="008676CB"/>
    <w:rsid w:val="00870121"/>
    <w:rsid w:val="0087093B"/>
    <w:rsid w:val="00870B5A"/>
    <w:rsid w:val="00870D14"/>
    <w:rsid w:val="0087115E"/>
    <w:rsid w:val="0087130D"/>
    <w:rsid w:val="008716CB"/>
    <w:rsid w:val="0087186A"/>
    <w:rsid w:val="008719C4"/>
    <w:rsid w:val="0087345D"/>
    <w:rsid w:val="00873713"/>
    <w:rsid w:val="00874387"/>
    <w:rsid w:val="0087456C"/>
    <w:rsid w:val="00875068"/>
    <w:rsid w:val="008751D3"/>
    <w:rsid w:val="008756B3"/>
    <w:rsid w:val="00876394"/>
    <w:rsid w:val="008765AB"/>
    <w:rsid w:val="00876657"/>
    <w:rsid w:val="00876C35"/>
    <w:rsid w:val="00876D2A"/>
    <w:rsid w:val="00877012"/>
    <w:rsid w:val="00877614"/>
    <w:rsid w:val="00877D81"/>
    <w:rsid w:val="00880550"/>
    <w:rsid w:val="0088093A"/>
    <w:rsid w:val="00881450"/>
    <w:rsid w:val="008815F1"/>
    <w:rsid w:val="008816C1"/>
    <w:rsid w:val="00881D3B"/>
    <w:rsid w:val="008826C6"/>
    <w:rsid w:val="00883322"/>
    <w:rsid w:val="00883F13"/>
    <w:rsid w:val="008841EE"/>
    <w:rsid w:val="00884FD4"/>
    <w:rsid w:val="00885C35"/>
    <w:rsid w:val="00886A21"/>
    <w:rsid w:val="00886FCF"/>
    <w:rsid w:val="0088758A"/>
    <w:rsid w:val="008877E3"/>
    <w:rsid w:val="008878CC"/>
    <w:rsid w:val="00887C29"/>
    <w:rsid w:val="0089046C"/>
    <w:rsid w:val="00890AC9"/>
    <w:rsid w:val="00891F3E"/>
    <w:rsid w:val="00892DD7"/>
    <w:rsid w:val="00892FF3"/>
    <w:rsid w:val="0089330B"/>
    <w:rsid w:val="00893497"/>
    <w:rsid w:val="008942E7"/>
    <w:rsid w:val="00894709"/>
    <w:rsid w:val="00894F9B"/>
    <w:rsid w:val="00895550"/>
    <w:rsid w:val="00895AA2"/>
    <w:rsid w:val="00897094"/>
    <w:rsid w:val="00897286"/>
    <w:rsid w:val="00897563"/>
    <w:rsid w:val="00897815"/>
    <w:rsid w:val="008A0549"/>
    <w:rsid w:val="008A0F62"/>
    <w:rsid w:val="008A2090"/>
    <w:rsid w:val="008A2533"/>
    <w:rsid w:val="008A28C4"/>
    <w:rsid w:val="008A36B7"/>
    <w:rsid w:val="008A3934"/>
    <w:rsid w:val="008A3DC6"/>
    <w:rsid w:val="008A4E4A"/>
    <w:rsid w:val="008A4FB7"/>
    <w:rsid w:val="008A517B"/>
    <w:rsid w:val="008A5402"/>
    <w:rsid w:val="008A54C8"/>
    <w:rsid w:val="008A663E"/>
    <w:rsid w:val="008A6DCA"/>
    <w:rsid w:val="008A6FBA"/>
    <w:rsid w:val="008A791B"/>
    <w:rsid w:val="008A793F"/>
    <w:rsid w:val="008B00F3"/>
    <w:rsid w:val="008B048F"/>
    <w:rsid w:val="008B08DA"/>
    <w:rsid w:val="008B0C67"/>
    <w:rsid w:val="008B0DB0"/>
    <w:rsid w:val="008B1088"/>
    <w:rsid w:val="008B248E"/>
    <w:rsid w:val="008B2598"/>
    <w:rsid w:val="008B4009"/>
    <w:rsid w:val="008B4956"/>
    <w:rsid w:val="008B52D1"/>
    <w:rsid w:val="008B532F"/>
    <w:rsid w:val="008B600B"/>
    <w:rsid w:val="008B60E2"/>
    <w:rsid w:val="008B6511"/>
    <w:rsid w:val="008B7475"/>
    <w:rsid w:val="008B7787"/>
    <w:rsid w:val="008B7DF5"/>
    <w:rsid w:val="008C070D"/>
    <w:rsid w:val="008C0F61"/>
    <w:rsid w:val="008C26A6"/>
    <w:rsid w:val="008C34A2"/>
    <w:rsid w:val="008C3525"/>
    <w:rsid w:val="008C390F"/>
    <w:rsid w:val="008C436C"/>
    <w:rsid w:val="008C49E3"/>
    <w:rsid w:val="008C4BD5"/>
    <w:rsid w:val="008C56EE"/>
    <w:rsid w:val="008C5922"/>
    <w:rsid w:val="008C5FD7"/>
    <w:rsid w:val="008C688A"/>
    <w:rsid w:val="008D012E"/>
    <w:rsid w:val="008D0823"/>
    <w:rsid w:val="008D09A7"/>
    <w:rsid w:val="008D0CC6"/>
    <w:rsid w:val="008D194B"/>
    <w:rsid w:val="008D1AC8"/>
    <w:rsid w:val="008D1F5C"/>
    <w:rsid w:val="008D24E3"/>
    <w:rsid w:val="008D2663"/>
    <w:rsid w:val="008D2829"/>
    <w:rsid w:val="008D3349"/>
    <w:rsid w:val="008D3482"/>
    <w:rsid w:val="008D3484"/>
    <w:rsid w:val="008D369E"/>
    <w:rsid w:val="008D3817"/>
    <w:rsid w:val="008D433F"/>
    <w:rsid w:val="008D49D7"/>
    <w:rsid w:val="008D4DFC"/>
    <w:rsid w:val="008D51A7"/>
    <w:rsid w:val="008D584B"/>
    <w:rsid w:val="008D5D5F"/>
    <w:rsid w:val="008D66A2"/>
    <w:rsid w:val="008D6AA4"/>
    <w:rsid w:val="008D794C"/>
    <w:rsid w:val="008E0D19"/>
    <w:rsid w:val="008E16F9"/>
    <w:rsid w:val="008E1C65"/>
    <w:rsid w:val="008E1C6D"/>
    <w:rsid w:val="008E2491"/>
    <w:rsid w:val="008E2621"/>
    <w:rsid w:val="008E31C4"/>
    <w:rsid w:val="008E3ECC"/>
    <w:rsid w:val="008E6410"/>
    <w:rsid w:val="008E64EB"/>
    <w:rsid w:val="008E6658"/>
    <w:rsid w:val="008E69AC"/>
    <w:rsid w:val="008E6F00"/>
    <w:rsid w:val="008E7AF3"/>
    <w:rsid w:val="008E7B87"/>
    <w:rsid w:val="008F0291"/>
    <w:rsid w:val="008F1F71"/>
    <w:rsid w:val="008F26D4"/>
    <w:rsid w:val="008F3F33"/>
    <w:rsid w:val="008F44BD"/>
    <w:rsid w:val="008F4B6F"/>
    <w:rsid w:val="008F4C82"/>
    <w:rsid w:val="008F4E37"/>
    <w:rsid w:val="008F4F89"/>
    <w:rsid w:val="008F540C"/>
    <w:rsid w:val="008F5415"/>
    <w:rsid w:val="008F56AC"/>
    <w:rsid w:val="008F5DB7"/>
    <w:rsid w:val="008F7306"/>
    <w:rsid w:val="00900744"/>
    <w:rsid w:val="009008F2"/>
    <w:rsid w:val="00900A11"/>
    <w:rsid w:val="009012D4"/>
    <w:rsid w:val="0090140E"/>
    <w:rsid w:val="009016E8"/>
    <w:rsid w:val="00901F75"/>
    <w:rsid w:val="00902308"/>
    <w:rsid w:val="009023AD"/>
    <w:rsid w:val="00902431"/>
    <w:rsid w:val="009026F3"/>
    <w:rsid w:val="009028CA"/>
    <w:rsid w:val="00903774"/>
    <w:rsid w:val="0090388A"/>
    <w:rsid w:val="0090412A"/>
    <w:rsid w:val="00904E40"/>
    <w:rsid w:val="00905040"/>
    <w:rsid w:val="00905291"/>
    <w:rsid w:val="00906600"/>
    <w:rsid w:val="009068F2"/>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5D46"/>
    <w:rsid w:val="00915FBE"/>
    <w:rsid w:val="00916835"/>
    <w:rsid w:val="00916E70"/>
    <w:rsid w:val="009170DE"/>
    <w:rsid w:val="009172F2"/>
    <w:rsid w:val="009176D0"/>
    <w:rsid w:val="00917E2C"/>
    <w:rsid w:val="00920AEA"/>
    <w:rsid w:val="00921789"/>
    <w:rsid w:val="009228C1"/>
    <w:rsid w:val="00923BD9"/>
    <w:rsid w:val="00923F2E"/>
    <w:rsid w:val="00924DCE"/>
    <w:rsid w:val="00925847"/>
    <w:rsid w:val="00925B2E"/>
    <w:rsid w:val="00925E33"/>
    <w:rsid w:val="00926328"/>
    <w:rsid w:val="00926A7F"/>
    <w:rsid w:val="00927B26"/>
    <w:rsid w:val="00927E4D"/>
    <w:rsid w:val="0093014E"/>
    <w:rsid w:val="00930263"/>
    <w:rsid w:val="00930BAA"/>
    <w:rsid w:val="009315A3"/>
    <w:rsid w:val="00931748"/>
    <w:rsid w:val="00931A25"/>
    <w:rsid w:val="0093332A"/>
    <w:rsid w:val="009333BB"/>
    <w:rsid w:val="0093381B"/>
    <w:rsid w:val="009340E3"/>
    <w:rsid w:val="0093456C"/>
    <w:rsid w:val="009349AB"/>
    <w:rsid w:val="00934DC4"/>
    <w:rsid w:val="009353C7"/>
    <w:rsid w:val="0093562B"/>
    <w:rsid w:val="009356C1"/>
    <w:rsid w:val="00935B96"/>
    <w:rsid w:val="00936827"/>
    <w:rsid w:val="00936C53"/>
    <w:rsid w:val="00937A74"/>
    <w:rsid w:val="00937C4F"/>
    <w:rsid w:val="009404D6"/>
    <w:rsid w:val="009408C2"/>
    <w:rsid w:val="009415EB"/>
    <w:rsid w:val="009418D8"/>
    <w:rsid w:val="00941BB7"/>
    <w:rsid w:val="0094300A"/>
    <w:rsid w:val="00943314"/>
    <w:rsid w:val="009437E9"/>
    <w:rsid w:val="00943A67"/>
    <w:rsid w:val="00943CE1"/>
    <w:rsid w:val="00943EFA"/>
    <w:rsid w:val="009447A3"/>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F6F"/>
    <w:rsid w:val="00952078"/>
    <w:rsid w:val="009520B1"/>
    <w:rsid w:val="00952244"/>
    <w:rsid w:val="00952282"/>
    <w:rsid w:val="009526B8"/>
    <w:rsid w:val="0095288C"/>
    <w:rsid w:val="00953081"/>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E03"/>
    <w:rsid w:val="00960F94"/>
    <w:rsid w:val="009611F2"/>
    <w:rsid w:val="009615EC"/>
    <w:rsid w:val="009616A9"/>
    <w:rsid w:val="00961E1B"/>
    <w:rsid w:val="009620B1"/>
    <w:rsid w:val="0096257C"/>
    <w:rsid w:val="00963870"/>
    <w:rsid w:val="00963E16"/>
    <w:rsid w:val="00964467"/>
    <w:rsid w:val="00964A72"/>
    <w:rsid w:val="00964AF5"/>
    <w:rsid w:val="00965B71"/>
    <w:rsid w:val="00965F4F"/>
    <w:rsid w:val="00966232"/>
    <w:rsid w:val="00966ECC"/>
    <w:rsid w:val="00966ED1"/>
    <w:rsid w:val="00967488"/>
    <w:rsid w:val="009676BE"/>
    <w:rsid w:val="009702B6"/>
    <w:rsid w:val="009705DF"/>
    <w:rsid w:val="0097078D"/>
    <w:rsid w:val="0097089F"/>
    <w:rsid w:val="009709BF"/>
    <w:rsid w:val="0097168D"/>
    <w:rsid w:val="00972124"/>
    <w:rsid w:val="00972442"/>
    <w:rsid w:val="009725F4"/>
    <w:rsid w:val="00972BC8"/>
    <w:rsid w:val="0097308E"/>
    <w:rsid w:val="00973669"/>
    <w:rsid w:val="0097445D"/>
    <w:rsid w:val="00975876"/>
    <w:rsid w:val="00976DF1"/>
    <w:rsid w:val="00977C1B"/>
    <w:rsid w:val="00977D0D"/>
    <w:rsid w:val="0098003F"/>
    <w:rsid w:val="009821AF"/>
    <w:rsid w:val="00982A58"/>
    <w:rsid w:val="00983370"/>
    <w:rsid w:val="00983B46"/>
    <w:rsid w:val="00983FE2"/>
    <w:rsid w:val="00984301"/>
    <w:rsid w:val="009844B5"/>
    <w:rsid w:val="0098478C"/>
    <w:rsid w:val="00985234"/>
    <w:rsid w:val="00985987"/>
    <w:rsid w:val="00986037"/>
    <w:rsid w:val="00986244"/>
    <w:rsid w:val="00987611"/>
    <w:rsid w:val="00987BD2"/>
    <w:rsid w:val="009901EF"/>
    <w:rsid w:val="009906FC"/>
    <w:rsid w:val="0099146F"/>
    <w:rsid w:val="00991685"/>
    <w:rsid w:val="009926E2"/>
    <w:rsid w:val="00992A44"/>
    <w:rsid w:val="00992ACE"/>
    <w:rsid w:val="009934CE"/>
    <w:rsid w:val="00993705"/>
    <w:rsid w:val="00993DC2"/>
    <w:rsid w:val="0099447D"/>
    <w:rsid w:val="009945C3"/>
    <w:rsid w:val="0099500B"/>
    <w:rsid w:val="00995398"/>
    <w:rsid w:val="00995441"/>
    <w:rsid w:val="00995737"/>
    <w:rsid w:val="00995D3B"/>
    <w:rsid w:val="00995E40"/>
    <w:rsid w:val="00996297"/>
    <w:rsid w:val="00996DD5"/>
    <w:rsid w:val="009973AB"/>
    <w:rsid w:val="009976D0"/>
    <w:rsid w:val="00997807"/>
    <w:rsid w:val="00997B72"/>
    <w:rsid w:val="00997FCA"/>
    <w:rsid w:val="009A02AB"/>
    <w:rsid w:val="009A1058"/>
    <w:rsid w:val="009A15FD"/>
    <w:rsid w:val="009A16E4"/>
    <w:rsid w:val="009A221D"/>
    <w:rsid w:val="009A2965"/>
    <w:rsid w:val="009A331A"/>
    <w:rsid w:val="009A378E"/>
    <w:rsid w:val="009A41A0"/>
    <w:rsid w:val="009A4BAC"/>
    <w:rsid w:val="009A5641"/>
    <w:rsid w:val="009A58F2"/>
    <w:rsid w:val="009A62A4"/>
    <w:rsid w:val="009A6BE8"/>
    <w:rsid w:val="009A70E0"/>
    <w:rsid w:val="009A755E"/>
    <w:rsid w:val="009A7A16"/>
    <w:rsid w:val="009A7C65"/>
    <w:rsid w:val="009B02BC"/>
    <w:rsid w:val="009B0761"/>
    <w:rsid w:val="009B0853"/>
    <w:rsid w:val="009B0B39"/>
    <w:rsid w:val="009B0EF0"/>
    <w:rsid w:val="009B122B"/>
    <w:rsid w:val="009B1384"/>
    <w:rsid w:val="009B1F40"/>
    <w:rsid w:val="009B2617"/>
    <w:rsid w:val="009B2B72"/>
    <w:rsid w:val="009B3481"/>
    <w:rsid w:val="009B37A2"/>
    <w:rsid w:val="009B3D8D"/>
    <w:rsid w:val="009B4257"/>
    <w:rsid w:val="009B4FDA"/>
    <w:rsid w:val="009B5A0F"/>
    <w:rsid w:val="009B5D3A"/>
    <w:rsid w:val="009B6143"/>
    <w:rsid w:val="009B6586"/>
    <w:rsid w:val="009B6C2A"/>
    <w:rsid w:val="009B739A"/>
    <w:rsid w:val="009B76C5"/>
    <w:rsid w:val="009B78C5"/>
    <w:rsid w:val="009B7EAA"/>
    <w:rsid w:val="009C0E2A"/>
    <w:rsid w:val="009C1AEB"/>
    <w:rsid w:val="009C2B83"/>
    <w:rsid w:val="009C394A"/>
    <w:rsid w:val="009C3CCF"/>
    <w:rsid w:val="009C4E7A"/>
    <w:rsid w:val="009C5632"/>
    <w:rsid w:val="009C5AE7"/>
    <w:rsid w:val="009C5D81"/>
    <w:rsid w:val="009C60CE"/>
    <w:rsid w:val="009C613A"/>
    <w:rsid w:val="009C6495"/>
    <w:rsid w:val="009C65E9"/>
    <w:rsid w:val="009C66EA"/>
    <w:rsid w:val="009C74BD"/>
    <w:rsid w:val="009C74D2"/>
    <w:rsid w:val="009C7F16"/>
    <w:rsid w:val="009D0D68"/>
    <w:rsid w:val="009D0E53"/>
    <w:rsid w:val="009D1412"/>
    <w:rsid w:val="009D2511"/>
    <w:rsid w:val="009D292D"/>
    <w:rsid w:val="009D2AD3"/>
    <w:rsid w:val="009D378C"/>
    <w:rsid w:val="009D3860"/>
    <w:rsid w:val="009D3F56"/>
    <w:rsid w:val="009D4123"/>
    <w:rsid w:val="009D44B9"/>
    <w:rsid w:val="009D5850"/>
    <w:rsid w:val="009D58C7"/>
    <w:rsid w:val="009D67BD"/>
    <w:rsid w:val="009D70F6"/>
    <w:rsid w:val="009D72C2"/>
    <w:rsid w:val="009D7F96"/>
    <w:rsid w:val="009D7F9E"/>
    <w:rsid w:val="009E026B"/>
    <w:rsid w:val="009E097D"/>
    <w:rsid w:val="009E147E"/>
    <w:rsid w:val="009E186D"/>
    <w:rsid w:val="009E2199"/>
    <w:rsid w:val="009E28A5"/>
    <w:rsid w:val="009E3512"/>
    <w:rsid w:val="009E385A"/>
    <w:rsid w:val="009E38AF"/>
    <w:rsid w:val="009E39EA"/>
    <w:rsid w:val="009E4023"/>
    <w:rsid w:val="009E40E1"/>
    <w:rsid w:val="009E470F"/>
    <w:rsid w:val="009E58E6"/>
    <w:rsid w:val="009E5C7A"/>
    <w:rsid w:val="009E693B"/>
    <w:rsid w:val="009E6C1A"/>
    <w:rsid w:val="009E7699"/>
    <w:rsid w:val="009F104E"/>
    <w:rsid w:val="009F2D7B"/>
    <w:rsid w:val="009F3208"/>
    <w:rsid w:val="009F53DD"/>
    <w:rsid w:val="009F5EEA"/>
    <w:rsid w:val="009F6292"/>
    <w:rsid w:val="009F6331"/>
    <w:rsid w:val="009F64D5"/>
    <w:rsid w:val="009F69E7"/>
    <w:rsid w:val="009F6B1E"/>
    <w:rsid w:val="009F6D6C"/>
    <w:rsid w:val="009F6E02"/>
    <w:rsid w:val="009F764E"/>
    <w:rsid w:val="009F79A2"/>
    <w:rsid w:val="00A003EF"/>
    <w:rsid w:val="00A006FE"/>
    <w:rsid w:val="00A00E1D"/>
    <w:rsid w:val="00A017B3"/>
    <w:rsid w:val="00A018D4"/>
    <w:rsid w:val="00A01C3F"/>
    <w:rsid w:val="00A02020"/>
    <w:rsid w:val="00A02FAD"/>
    <w:rsid w:val="00A032E1"/>
    <w:rsid w:val="00A03745"/>
    <w:rsid w:val="00A03EFA"/>
    <w:rsid w:val="00A06AB0"/>
    <w:rsid w:val="00A06EFB"/>
    <w:rsid w:val="00A07887"/>
    <w:rsid w:val="00A07910"/>
    <w:rsid w:val="00A10323"/>
    <w:rsid w:val="00A104F8"/>
    <w:rsid w:val="00A10548"/>
    <w:rsid w:val="00A11125"/>
    <w:rsid w:val="00A117F6"/>
    <w:rsid w:val="00A11BD4"/>
    <w:rsid w:val="00A11CDC"/>
    <w:rsid w:val="00A12592"/>
    <w:rsid w:val="00A12797"/>
    <w:rsid w:val="00A12915"/>
    <w:rsid w:val="00A12B68"/>
    <w:rsid w:val="00A12F48"/>
    <w:rsid w:val="00A134AA"/>
    <w:rsid w:val="00A13555"/>
    <w:rsid w:val="00A13E00"/>
    <w:rsid w:val="00A13F7C"/>
    <w:rsid w:val="00A148BB"/>
    <w:rsid w:val="00A14932"/>
    <w:rsid w:val="00A14AEA"/>
    <w:rsid w:val="00A14B5D"/>
    <w:rsid w:val="00A14DB4"/>
    <w:rsid w:val="00A15C8A"/>
    <w:rsid w:val="00A15D41"/>
    <w:rsid w:val="00A171A9"/>
    <w:rsid w:val="00A17ED1"/>
    <w:rsid w:val="00A20096"/>
    <w:rsid w:val="00A202E9"/>
    <w:rsid w:val="00A20411"/>
    <w:rsid w:val="00A20643"/>
    <w:rsid w:val="00A224F8"/>
    <w:rsid w:val="00A225C5"/>
    <w:rsid w:val="00A22677"/>
    <w:rsid w:val="00A22761"/>
    <w:rsid w:val="00A23301"/>
    <w:rsid w:val="00A23384"/>
    <w:rsid w:val="00A237A4"/>
    <w:rsid w:val="00A251C4"/>
    <w:rsid w:val="00A256F6"/>
    <w:rsid w:val="00A25BE9"/>
    <w:rsid w:val="00A27325"/>
    <w:rsid w:val="00A2794A"/>
    <w:rsid w:val="00A27AD7"/>
    <w:rsid w:val="00A30602"/>
    <w:rsid w:val="00A30828"/>
    <w:rsid w:val="00A3100D"/>
    <w:rsid w:val="00A31711"/>
    <w:rsid w:val="00A31E8A"/>
    <w:rsid w:val="00A328F2"/>
    <w:rsid w:val="00A32A5E"/>
    <w:rsid w:val="00A33464"/>
    <w:rsid w:val="00A33668"/>
    <w:rsid w:val="00A338F4"/>
    <w:rsid w:val="00A33C81"/>
    <w:rsid w:val="00A34633"/>
    <w:rsid w:val="00A34F69"/>
    <w:rsid w:val="00A3674D"/>
    <w:rsid w:val="00A37231"/>
    <w:rsid w:val="00A37AF1"/>
    <w:rsid w:val="00A40EE2"/>
    <w:rsid w:val="00A429E0"/>
    <w:rsid w:val="00A42BA4"/>
    <w:rsid w:val="00A430B5"/>
    <w:rsid w:val="00A432F3"/>
    <w:rsid w:val="00A4449C"/>
    <w:rsid w:val="00A44506"/>
    <w:rsid w:val="00A447E0"/>
    <w:rsid w:val="00A44B7A"/>
    <w:rsid w:val="00A44BD9"/>
    <w:rsid w:val="00A4503C"/>
    <w:rsid w:val="00A45E9F"/>
    <w:rsid w:val="00A46274"/>
    <w:rsid w:val="00A46BF2"/>
    <w:rsid w:val="00A46DE5"/>
    <w:rsid w:val="00A47064"/>
    <w:rsid w:val="00A47134"/>
    <w:rsid w:val="00A479A0"/>
    <w:rsid w:val="00A47C7A"/>
    <w:rsid w:val="00A5046C"/>
    <w:rsid w:val="00A51737"/>
    <w:rsid w:val="00A51AE0"/>
    <w:rsid w:val="00A51FF7"/>
    <w:rsid w:val="00A526BE"/>
    <w:rsid w:val="00A5296C"/>
    <w:rsid w:val="00A52ABB"/>
    <w:rsid w:val="00A52D97"/>
    <w:rsid w:val="00A533A0"/>
    <w:rsid w:val="00A540E9"/>
    <w:rsid w:val="00A5422F"/>
    <w:rsid w:val="00A54544"/>
    <w:rsid w:val="00A55DCE"/>
    <w:rsid w:val="00A5601C"/>
    <w:rsid w:val="00A561FA"/>
    <w:rsid w:val="00A5643E"/>
    <w:rsid w:val="00A564E2"/>
    <w:rsid w:val="00A56893"/>
    <w:rsid w:val="00A56F73"/>
    <w:rsid w:val="00A5723B"/>
    <w:rsid w:val="00A57F1B"/>
    <w:rsid w:val="00A6034E"/>
    <w:rsid w:val="00A6073D"/>
    <w:rsid w:val="00A60743"/>
    <w:rsid w:val="00A60C3E"/>
    <w:rsid w:val="00A60DE4"/>
    <w:rsid w:val="00A619BE"/>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90581"/>
    <w:rsid w:val="00A90691"/>
    <w:rsid w:val="00A90921"/>
    <w:rsid w:val="00A90E71"/>
    <w:rsid w:val="00A911BE"/>
    <w:rsid w:val="00A91457"/>
    <w:rsid w:val="00A91AFF"/>
    <w:rsid w:val="00A92650"/>
    <w:rsid w:val="00A928D3"/>
    <w:rsid w:val="00A92AAD"/>
    <w:rsid w:val="00A92B80"/>
    <w:rsid w:val="00A93979"/>
    <w:rsid w:val="00A947D9"/>
    <w:rsid w:val="00A94C55"/>
    <w:rsid w:val="00A95280"/>
    <w:rsid w:val="00A95316"/>
    <w:rsid w:val="00A95CF9"/>
    <w:rsid w:val="00A96962"/>
    <w:rsid w:val="00A96A21"/>
    <w:rsid w:val="00A97229"/>
    <w:rsid w:val="00A97899"/>
    <w:rsid w:val="00A97A84"/>
    <w:rsid w:val="00AA010F"/>
    <w:rsid w:val="00AA04BD"/>
    <w:rsid w:val="00AA0A55"/>
    <w:rsid w:val="00AA0D04"/>
    <w:rsid w:val="00AA0DB3"/>
    <w:rsid w:val="00AA1152"/>
    <w:rsid w:val="00AA1D7A"/>
    <w:rsid w:val="00AA23BD"/>
    <w:rsid w:val="00AA265C"/>
    <w:rsid w:val="00AA2BB8"/>
    <w:rsid w:val="00AA3109"/>
    <w:rsid w:val="00AA3787"/>
    <w:rsid w:val="00AA378C"/>
    <w:rsid w:val="00AA3A28"/>
    <w:rsid w:val="00AA3A41"/>
    <w:rsid w:val="00AA46D2"/>
    <w:rsid w:val="00AA4DAF"/>
    <w:rsid w:val="00AA4F85"/>
    <w:rsid w:val="00AA52A3"/>
    <w:rsid w:val="00AA55EE"/>
    <w:rsid w:val="00AA588F"/>
    <w:rsid w:val="00AA66B9"/>
    <w:rsid w:val="00AA68A8"/>
    <w:rsid w:val="00AA6D22"/>
    <w:rsid w:val="00AA6D68"/>
    <w:rsid w:val="00AA76F1"/>
    <w:rsid w:val="00AB001D"/>
    <w:rsid w:val="00AB08B1"/>
    <w:rsid w:val="00AB0D6A"/>
    <w:rsid w:val="00AB11D3"/>
    <w:rsid w:val="00AB11F1"/>
    <w:rsid w:val="00AB200C"/>
    <w:rsid w:val="00AB20DA"/>
    <w:rsid w:val="00AB260E"/>
    <w:rsid w:val="00AB2A39"/>
    <w:rsid w:val="00AB38B4"/>
    <w:rsid w:val="00AB39FB"/>
    <w:rsid w:val="00AB3E77"/>
    <w:rsid w:val="00AB484C"/>
    <w:rsid w:val="00AB4BBB"/>
    <w:rsid w:val="00AB4C33"/>
    <w:rsid w:val="00AB4D3F"/>
    <w:rsid w:val="00AB4F35"/>
    <w:rsid w:val="00AB4FE1"/>
    <w:rsid w:val="00AB527A"/>
    <w:rsid w:val="00AB559A"/>
    <w:rsid w:val="00AB61CB"/>
    <w:rsid w:val="00AB6240"/>
    <w:rsid w:val="00AB6873"/>
    <w:rsid w:val="00AB7284"/>
    <w:rsid w:val="00AB7E25"/>
    <w:rsid w:val="00AC0646"/>
    <w:rsid w:val="00AC08FB"/>
    <w:rsid w:val="00AC10EE"/>
    <w:rsid w:val="00AC1418"/>
    <w:rsid w:val="00AC161E"/>
    <w:rsid w:val="00AC165B"/>
    <w:rsid w:val="00AC185D"/>
    <w:rsid w:val="00AC2111"/>
    <w:rsid w:val="00AC23D5"/>
    <w:rsid w:val="00AC3342"/>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5583"/>
    <w:rsid w:val="00AD631B"/>
    <w:rsid w:val="00AD6891"/>
    <w:rsid w:val="00AD6DA0"/>
    <w:rsid w:val="00AD7470"/>
    <w:rsid w:val="00AD75EE"/>
    <w:rsid w:val="00AE01D5"/>
    <w:rsid w:val="00AE0C10"/>
    <w:rsid w:val="00AE129E"/>
    <w:rsid w:val="00AE1917"/>
    <w:rsid w:val="00AE1972"/>
    <w:rsid w:val="00AE1DB6"/>
    <w:rsid w:val="00AE232C"/>
    <w:rsid w:val="00AE237C"/>
    <w:rsid w:val="00AE25E2"/>
    <w:rsid w:val="00AE2880"/>
    <w:rsid w:val="00AE3220"/>
    <w:rsid w:val="00AE46E7"/>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C1C"/>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2670"/>
    <w:rsid w:val="00B02904"/>
    <w:rsid w:val="00B02B95"/>
    <w:rsid w:val="00B02C5F"/>
    <w:rsid w:val="00B02FC5"/>
    <w:rsid w:val="00B032DE"/>
    <w:rsid w:val="00B03F1D"/>
    <w:rsid w:val="00B042E6"/>
    <w:rsid w:val="00B049D2"/>
    <w:rsid w:val="00B062C6"/>
    <w:rsid w:val="00B06902"/>
    <w:rsid w:val="00B06A84"/>
    <w:rsid w:val="00B06C3E"/>
    <w:rsid w:val="00B07423"/>
    <w:rsid w:val="00B07427"/>
    <w:rsid w:val="00B0742B"/>
    <w:rsid w:val="00B07818"/>
    <w:rsid w:val="00B07CBA"/>
    <w:rsid w:val="00B10E2D"/>
    <w:rsid w:val="00B12152"/>
    <w:rsid w:val="00B1280F"/>
    <w:rsid w:val="00B128EE"/>
    <w:rsid w:val="00B139EE"/>
    <w:rsid w:val="00B14008"/>
    <w:rsid w:val="00B14519"/>
    <w:rsid w:val="00B14746"/>
    <w:rsid w:val="00B1488E"/>
    <w:rsid w:val="00B14E9C"/>
    <w:rsid w:val="00B14FA1"/>
    <w:rsid w:val="00B15367"/>
    <w:rsid w:val="00B15707"/>
    <w:rsid w:val="00B15FA1"/>
    <w:rsid w:val="00B16422"/>
    <w:rsid w:val="00B1652C"/>
    <w:rsid w:val="00B16562"/>
    <w:rsid w:val="00B16A26"/>
    <w:rsid w:val="00B17288"/>
    <w:rsid w:val="00B20541"/>
    <w:rsid w:val="00B20856"/>
    <w:rsid w:val="00B20988"/>
    <w:rsid w:val="00B20D5E"/>
    <w:rsid w:val="00B21404"/>
    <w:rsid w:val="00B21923"/>
    <w:rsid w:val="00B2403F"/>
    <w:rsid w:val="00B240EA"/>
    <w:rsid w:val="00B2484B"/>
    <w:rsid w:val="00B2497F"/>
    <w:rsid w:val="00B2510D"/>
    <w:rsid w:val="00B25A9D"/>
    <w:rsid w:val="00B26417"/>
    <w:rsid w:val="00B27947"/>
    <w:rsid w:val="00B302AC"/>
    <w:rsid w:val="00B30403"/>
    <w:rsid w:val="00B3121C"/>
    <w:rsid w:val="00B315F0"/>
    <w:rsid w:val="00B32291"/>
    <w:rsid w:val="00B32CC7"/>
    <w:rsid w:val="00B336CD"/>
    <w:rsid w:val="00B33BA6"/>
    <w:rsid w:val="00B3462E"/>
    <w:rsid w:val="00B34CD5"/>
    <w:rsid w:val="00B34D52"/>
    <w:rsid w:val="00B34EE6"/>
    <w:rsid w:val="00B35FEC"/>
    <w:rsid w:val="00B37700"/>
    <w:rsid w:val="00B37C74"/>
    <w:rsid w:val="00B37FB3"/>
    <w:rsid w:val="00B408EE"/>
    <w:rsid w:val="00B40D82"/>
    <w:rsid w:val="00B40DE1"/>
    <w:rsid w:val="00B42223"/>
    <w:rsid w:val="00B4298B"/>
    <w:rsid w:val="00B42C5F"/>
    <w:rsid w:val="00B42E51"/>
    <w:rsid w:val="00B43785"/>
    <w:rsid w:val="00B43D31"/>
    <w:rsid w:val="00B446FF"/>
    <w:rsid w:val="00B45AFC"/>
    <w:rsid w:val="00B45B73"/>
    <w:rsid w:val="00B45F00"/>
    <w:rsid w:val="00B461E1"/>
    <w:rsid w:val="00B46259"/>
    <w:rsid w:val="00B46857"/>
    <w:rsid w:val="00B47068"/>
    <w:rsid w:val="00B476A3"/>
    <w:rsid w:val="00B47D91"/>
    <w:rsid w:val="00B5018E"/>
    <w:rsid w:val="00B50241"/>
    <w:rsid w:val="00B504A8"/>
    <w:rsid w:val="00B505CD"/>
    <w:rsid w:val="00B50C91"/>
    <w:rsid w:val="00B50F8A"/>
    <w:rsid w:val="00B51029"/>
    <w:rsid w:val="00B51C5C"/>
    <w:rsid w:val="00B51E62"/>
    <w:rsid w:val="00B5226C"/>
    <w:rsid w:val="00B5246B"/>
    <w:rsid w:val="00B5350E"/>
    <w:rsid w:val="00B5360D"/>
    <w:rsid w:val="00B54174"/>
    <w:rsid w:val="00B54491"/>
    <w:rsid w:val="00B54904"/>
    <w:rsid w:val="00B55C2D"/>
    <w:rsid w:val="00B56D0B"/>
    <w:rsid w:val="00B5712D"/>
    <w:rsid w:val="00B5766A"/>
    <w:rsid w:val="00B57976"/>
    <w:rsid w:val="00B60990"/>
    <w:rsid w:val="00B61941"/>
    <w:rsid w:val="00B61DC4"/>
    <w:rsid w:val="00B63617"/>
    <w:rsid w:val="00B6413B"/>
    <w:rsid w:val="00B645B3"/>
    <w:rsid w:val="00B648A2"/>
    <w:rsid w:val="00B654C1"/>
    <w:rsid w:val="00B659D3"/>
    <w:rsid w:val="00B65C2C"/>
    <w:rsid w:val="00B67038"/>
    <w:rsid w:val="00B670C4"/>
    <w:rsid w:val="00B67F4C"/>
    <w:rsid w:val="00B67FFE"/>
    <w:rsid w:val="00B7068F"/>
    <w:rsid w:val="00B70C7F"/>
    <w:rsid w:val="00B70F12"/>
    <w:rsid w:val="00B70FBF"/>
    <w:rsid w:val="00B71866"/>
    <w:rsid w:val="00B725C2"/>
    <w:rsid w:val="00B72A16"/>
    <w:rsid w:val="00B72CF0"/>
    <w:rsid w:val="00B73485"/>
    <w:rsid w:val="00B742B0"/>
    <w:rsid w:val="00B74D9F"/>
    <w:rsid w:val="00B75CC1"/>
    <w:rsid w:val="00B7653B"/>
    <w:rsid w:val="00B7679B"/>
    <w:rsid w:val="00B76E91"/>
    <w:rsid w:val="00B771D7"/>
    <w:rsid w:val="00B801B2"/>
    <w:rsid w:val="00B8225C"/>
    <w:rsid w:val="00B8277D"/>
    <w:rsid w:val="00B82897"/>
    <w:rsid w:val="00B82D3F"/>
    <w:rsid w:val="00B831A9"/>
    <w:rsid w:val="00B83857"/>
    <w:rsid w:val="00B84348"/>
    <w:rsid w:val="00B847D9"/>
    <w:rsid w:val="00B84B06"/>
    <w:rsid w:val="00B85251"/>
    <w:rsid w:val="00B853CC"/>
    <w:rsid w:val="00B8653C"/>
    <w:rsid w:val="00B866EE"/>
    <w:rsid w:val="00B86E84"/>
    <w:rsid w:val="00B86E85"/>
    <w:rsid w:val="00B8751C"/>
    <w:rsid w:val="00B87F36"/>
    <w:rsid w:val="00B9048A"/>
    <w:rsid w:val="00B90835"/>
    <w:rsid w:val="00B91C11"/>
    <w:rsid w:val="00B91D2A"/>
    <w:rsid w:val="00B92C38"/>
    <w:rsid w:val="00B930FA"/>
    <w:rsid w:val="00B94815"/>
    <w:rsid w:val="00B954DC"/>
    <w:rsid w:val="00B9739D"/>
    <w:rsid w:val="00B97669"/>
    <w:rsid w:val="00BA0429"/>
    <w:rsid w:val="00BA0A2B"/>
    <w:rsid w:val="00BA0C99"/>
    <w:rsid w:val="00BA0CEE"/>
    <w:rsid w:val="00BA0CFF"/>
    <w:rsid w:val="00BA1C32"/>
    <w:rsid w:val="00BA1C69"/>
    <w:rsid w:val="00BA2104"/>
    <w:rsid w:val="00BA25C6"/>
    <w:rsid w:val="00BA27B0"/>
    <w:rsid w:val="00BA2D86"/>
    <w:rsid w:val="00BA4780"/>
    <w:rsid w:val="00BA480A"/>
    <w:rsid w:val="00BA4863"/>
    <w:rsid w:val="00BA5482"/>
    <w:rsid w:val="00BA55AE"/>
    <w:rsid w:val="00BA56C8"/>
    <w:rsid w:val="00BA576B"/>
    <w:rsid w:val="00BA57AA"/>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6EB"/>
    <w:rsid w:val="00BB57F4"/>
    <w:rsid w:val="00BB5945"/>
    <w:rsid w:val="00BB6859"/>
    <w:rsid w:val="00BB76D3"/>
    <w:rsid w:val="00BB79DA"/>
    <w:rsid w:val="00BB7BC9"/>
    <w:rsid w:val="00BB7FC0"/>
    <w:rsid w:val="00BC060A"/>
    <w:rsid w:val="00BC0656"/>
    <w:rsid w:val="00BC0C42"/>
    <w:rsid w:val="00BC110E"/>
    <w:rsid w:val="00BC114A"/>
    <w:rsid w:val="00BC1EF1"/>
    <w:rsid w:val="00BC2850"/>
    <w:rsid w:val="00BC4159"/>
    <w:rsid w:val="00BC4655"/>
    <w:rsid w:val="00BC469C"/>
    <w:rsid w:val="00BC545C"/>
    <w:rsid w:val="00BC56ED"/>
    <w:rsid w:val="00BC5CA0"/>
    <w:rsid w:val="00BC62E7"/>
    <w:rsid w:val="00BC65B2"/>
    <w:rsid w:val="00BC6811"/>
    <w:rsid w:val="00BC682D"/>
    <w:rsid w:val="00BC6FE3"/>
    <w:rsid w:val="00BC727A"/>
    <w:rsid w:val="00BC72AD"/>
    <w:rsid w:val="00BC7C04"/>
    <w:rsid w:val="00BD0303"/>
    <w:rsid w:val="00BD0401"/>
    <w:rsid w:val="00BD08ED"/>
    <w:rsid w:val="00BD181F"/>
    <w:rsid w:val="00BD18C1"/>
    <w:rsid w:val="00BD1E3E"/>
    <w:rsid w:val="00BD1F7F"/>
    <w:rsid w:val="00BD2E91"/>
    <w:rsid w:val="00BD3654"/>
    <w:rsid w:val="00BD399A"/>
    <w:rsid w:val="00BD39CA"/>
    <w:rsid w:val="00BD39E7"/>
    <w:rsid w:val="00BD3B5B"/>
    <w:rsid w:val="00BD516D"/>
    <w:rsid w:val="00BD528E"/>
    <w:rsid w:val="00BD5633"/>
    <w:rsid w:val="00BD6926"/>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7103"/>
    <w:rsid w:val="00BE77D8"/>
    <w:rsid w:val="00BE7D2E"/>
    <w:rsid w:val="00BF006D"/>
    <w:rsid w:val="00BF04FB"/>
    <w:rsid w:val="00BF1740"/>
    <w:rsid w:val="00BF1CCA"/>
    <w:rsid w:val="00BF232E"/>
    <w:rsid w:val="00BF2D9E"/>
    <w:rsid w:val="00BF2EE2"/>
    <w:rsid w:val="00BF313B"/>
    <w:rsid w:val="00BF340D"/>
    <w:rsid w:val="00BF3511"/>
    <w:rsid w:val="00BF45F7"/>
    <w:rsid w:val="00BF4690"/>
    <w:rsid w:val="00BF4699"/>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650"/>
    <w:rsid w:val="00C03CB4"/>
    <w:rsid w:val="00C04118"/>
    <w:rsid w:val="00C041AB"/>
    <w:rsid w:val="00C04582"/>
    <w:rsid w:val="00C05F06"/>
    <w:rsid w:val="00C05FF0"/>
    <w:rsid w:val="00C069CB"/>
    <w:rsid w:val="00C06B8F"/>
    <w:rsid w:val="00C06D5A"/>
    <w:rsid w:val="00C07414"/>
    <w:rsid w:val="00C07BAA"/>
    <w:rsid w:val="00C10675"/>
    <w:rsid w:val="00C10A6D"/>
    <w:rsid w:val="00C11E87"/>
    <w:rsid w:val="00C12079"/>
    <w:rsid w:val="00C12403"/>
    <w:rsid w:val="00C12AD6"/>
    <w:rsid w:val="00C12B69"/>
    <w:rsid w:val="00C133FC"/>
    <w:rsid w:val="00C136D3"/>
    <w:rsid w:val="00C13A4D"/>
    <w:rsid w:val="00C13FB5"/>
    <w:rsid w:val="00C1411B"/>
    <w:rsid w:val="00C14200"/>
    <w:rsid w:val="00C144E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300B2"/>
    <w:rsid w:val="00C317C5"/>
    <w:rsid w:val="00C3192D"/>
    <w:rsid w:val="00C31AE4"/>
    <w:rsid w:val="00C325A5"/>
    <w:rsid w:val="00C33434"/>
    <w:rsid w:val="00C33ED6"/>
    <w:rsid w:val="00C3418C"/>
    <w:rsid w:val="00C346FC"/>
    <w:rsid w:val="00C34B5F"/>
    <w:rsid w:val="00C34C0E"/>
    <w:rsid w:val="00C34F6D"/>
    <w:rsid w:val="00C3520A"/>
    <w:rsid w:val="00C35527"/>
    <w:rsid w:val="00C35777"/>
    <w:rsid w:val="00C35EDD"/>
    <w:rsid w:val="00C362C0"/>
    <w:rsid w:val="00C36523"/>
    <w:rsid w:val="00C36625"/>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60B8"/>
    <w:rsid w:val="00C469A5"/>
    <w:rsid w:val="00C470E8"/>
    <w:rsid w:val="00C47BD1"/>
    <w:rsid w:val="00C47E1D"/>
    <w:rsid w:val="00C50290"/>
    <w:rsid w:val="00C50978"/>
    <w:rsid w:val="00C516D2"/>
    <w:rsid w:val="00C519FB"/>
    <w:rsid w:val="00C51C7C"/>
    <w:rsid w:val="00C51F60"/>
    <w:rsid w:val="00C5316F"/>
    <w:rsid w:val="00C5413F"/>
    <w:rsid w:val="00C55A80"/>
    <w:rsid w:val="00C55B98"/>
    <w:rsid w:val="00C56D79"/>
    <w:rsid w:val="00C56E77"/>
    <w:rsid w:val="00C56EE8"/>
    <w:rsid w:val="00C5703A"/>
    <w:rsid w:val="00C570AA"/>
    <w:rsid w:val="00C570D2"/>
    <w:rsid w:val="00C57490"/>
    <w:rsid w:val="00C5757B"/>
    <w:rsid w:val="00C579FF"/>
    <w:rsid w:val="00C613F4"/>
    <w:rsid w:val="00C61B83"/>
    <w:rsid w:val="00C61C2E"/>
    <w:rsid w:val="00C62665"/>
    <w:rsid w:val="00C62A09"/>
    <w:rsid w:val="00C62E1E"/>
    <w:rsid w:val="00C63075"/>
    <w:rsid w:val="00C644F5"/>
    <w:rsid w:val="00C65D57"/>
    <w:rsid w:val="00C66181"/>
    <w:rsid w:val="00C663C3"/>
    <w:rsid w:val="00C7010E"/>
    <w:rsid w:val="00C70716"/>
    <w:rsid w:val="00C71446"/>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449"/>
    <w:rsid w:val="00C75C3F"/>
    <w:rsid w:val="00C75DB4"/>
    <w:rsid w:val="00C766CC"/>
    <w:rsid w:val="00C76811"/>
    <w:rsid w:val="00C77356"/>
    <w:rsid w:val="00C773D6"/>
    <w:rsid w:val="00C773DB"/>
    <w:rsid w:val="00C7780C"/>
    <w:rsid w:val="00C77920"/>
    <w:rsid w:val="00C77D8E"/>
    <w:rsid w:val="00C80666"/>
    <w:rsid w:val="00C80869"/>
    <w:rsid w:val="00C80CA6"/>
    <w:rsid w:val="00C814C0"/>
    <w:rsid w:val="00C81DA9"/>
    <w:rsid w:val="00C81FBD"/>
    <w:rsid w:val="00C82076"/>
    <w:rsid w:val="00C82955"/>
    <w:rsid w:val="00C83443"/>
    <w:rsid w:val="00C836AB"/>
    <w:rsid w:val="00C83769"/>
    <w:rsid w:val="00C84957"/>
    <w:rsid w:val="00C86149"/>
    <w:rsid w:val="00C86164"/>
    <w:rsid w:val="00C863C4"/>
    <w:rsid w:val="00C87801"/>
    <w:rsid w:val="00C87B9E"/>
    <w:rsid w:val="00C90152"/>
    <w:rsid w:val="00C910BC"/>
    <w:rsid w:val="00C91B94"/>
    <w:rsid w:val="00C91F30"/>
    <w:rsid w:val="00C9207A"/>
    <w:rsid w:val="00C92EE4"/>
    <w:rsid w:val="00C93BC7"/>
    <w:rsid w:val="00C94146"/>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3D4"/>
    <w:rsid w:val="00CA0009"/>
    <w:rsid w:val="00CA0148"/>
    <w:rsid w:val="00CA0EFE"/>
    <w:rsid w:val="00CA1448"/>
    <w:rsid w:val="00CA14C2"/>
    <w:rsid w:val="00CA15B6"/>
    <w:rsid w:val="00CA1CD9"/>
    <w:rsid w:val="00CA1E5A"/>
    <w:rsid w:val="00CA26F4"/>
    <w:rsid w:val="00CA2834"/>
    <w:rsid w:val="00CA2A29"/>
    <w:rsid w:val="00CA32B2"/>
    <w:rsid w:val="00CA3B2F"/>
    <w:rsid w:val="00CA3C56"/>
    <w:rsid w:val="00CA41C7"/>
    <w:rsid w:val="00CA4E1D"/>
    <w:rsid w:val="00CA5009"/>
    <w:rsid w:val="00CA539F"/>
    <w:rsid w:val="00CA5B28"/>
    <w:rsid w:val="00CA5CDB"/>
    <w:rsid w:val="00CA62E8"/>
    <w:rsid w:val="00CA64BC"/>
    <w:rsid w:val="00CA6970"/>
    <w:rsid w:val="00CA6B0F"/>
    <w:rsid w:val="00CA7F35"/>
    <w:rsid w:val="00CB0A72"/>
    <w:rsid w:val="00CB0E6B"/>
    <w:rsid w:val="00CB13C6"/>
    <w:rsid w:val="00CB1813"/>
    <w:rsid w:val="00CB1D10"/>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BE8"/>
    <w:rsid w:val="00CC1061"/>
    <w:rsid w:val="00CC1276"/>
    <w:rsid w:val="00CC15AB"/>
    <w:rsid w:val="00CC190A"/>
    <w:rsid w:val="00CC1FBF"/>
    <w:rsid w:val="00CC2002"/>
    <w:rsid w:val="00CC2244"/>
    <w:rsid w:val="00CC2356"/>
    <w:rsid w:val="00CC2963"/>
    <w:rsid w:val="00CC2BC9"/>
    <w:rsid w:val="00CC3094"/>
    <w:rsid w:val="00CC30ED"/>
    <w:rsid w:val="00CC3891"/>
    <w:rsid w:val="00CC3A85"/>
    <w:rsid w:val="00CC3C4A"/>
    <w:rsid w:val="00CC3DFD"/>
    <w:rsid w:val="00CC3F24"/>
    <w:rsid w:val="00CC407C"/>
    <w:rsid w:val="00CC415E"/>
    <w:rsid w:val="00CC42A7"/>
    <w:rsid w:val="00CC489E"/>
    <w:rsid w:val="00CC4BE1"/>
    <w:rsid w:val="00CC5450"/>
    <w:rsid w:val="00CC6131"/>
    <w:rsid w:val="00CC625A"/>
    <w:rsid w:val="00CC634E"/>
    <w:rsid w:val="00CC640E"/>
    <w:rsid w:val="00CC6FD4"/>
    <w:rsid w:val="00CC7263"/>
    <w:rsid w:val="00CC7D57"/>
    <w:rsid w:val="00CD0295"/>
    <w:rsid w:val="00CD061F"/>
    <w:rsid w:val="00CD1B50"/>
    <w:rsid w:val="00CD2DF5"/>
    <w:rsid w:val="00CD44AE"/>
    <w:rsid w:val="00CD47F9"/>
    <w:rsid w:val="00CD49D9"/>
    <w:rsid w:val="00CD511E"/>
    <w:rsid w:val="00CD5C7D"/>
    <w:rsid w:val="00CD5D37"/>
    <w:rsid w:val="00CD73D9"/>
    <w:rsid w:val="00CE0C40"/>
    <w:rsid w:val="00CE0C68"/>
    <w:rsid w:val="00CE0E64"/>
    <w:rsid w:val="00CE10DF"/>
    <w:rsid w:val="00CE11E6"/>
    <w:rsid w:val="00CE1CE8"/>
    <w:rsid w:val="00CE230E"/>
    <w:rsid w:val="00CE23A6"/>
    <w:rsid w:val="00CE2572"/>
    <w:rsid w:val="00CE25F8"/>
    <w:rsid w:val="00CE2D39"/>
    <w:rsid w:val="00CE5122"/>
    <w:rsid w:val="00CE5723"/>
    <w:rsid w:val="00CE585C"/>
    <w:rsid w:val="00CE59CE"/>
    <w:rsid w:val="00CE5A76"/>
    <w:rsid w:val="00CE5AB0"/>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23"/>
    <w:rsid w:val="00CF289A"/>
    <w:rsid w:val="00CF3BA8"/>
    <w:rsid w:val="00CF4807"/>
    <w:rsid w:val="00CF57A2"/>
    <w:rsid w:val="00CF6742"/>
    <w:rsid w:val="00CF723B"/>
    <w:rsid w:val="00CF7466"/>
    <w:rsid w:val="00CF78D5"/>
    <w:rsid w:val="00CF7D45"/>
    <w:rsid w:val="00D001D3"/>
    <w:rsid w:val="00D002E6"/>
    <w:rsid w:val="00D00430"/>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A64"/>
    <w:rsid w:val="00D06420"/>
    <w:rsid w:val="00D067E6"/>
    <w:rsid w:val="00D068BA"/>
    <w:rsid w:val="00D0701F"/>
    <w:rsid w:val="00D0754F"/>
    <w:rsid w:val="00D0796B"/>
    <w:rsid w:val="00D07A59"/>
    <w:rsid w:val="00D07B24"/>
    <w:rsid w:val="00D07E18"/>
    <w:rsid w:val="00D113C6"/>
    <w:rsid w:val="00D11478"/>
    <w:rsid w:val="00D11730"/>
    <w:rsid w:val="00D11A66"/>
    <w:rsid w:val="00D11AB4"/>
    <w:rsid w:val="00D124AA"/>
    <w:rsid w:val="00D12506"/>
    <w:rsid w:val="00D13592"/>
    <w:rsid w:val="00D147BB"/>
    <w:rsid w:val="00D14A03"/>
    <w:rsid w:val="00D14A1B"/>
    <w:rsid w:val="00D15531"/>
    <w:rsid w:val="00D1596B"/>
    <w:rsid w:val="00D159BF"/>
    <w:rsid w:val="00D15AA1"/>
    <w:rsid w:val="00D15CCA"/>
    <w:rsid w:val="00D15D44"/>
    <w:rsid w:val="00D1639C"/>
    <w:rsid w:val="00D16519"/>
    <w:rsid w:val="00D16730"/>
    <w:rsid w:val="00D20CBF"/>
    <w:rsid w:val="00D2159F"/>
    <w:rsid w:val="00D21EAA"/>
    <w:rsid w:val="00D22496"/>
    <w:rsid w:val="00D224A3"/>
    <w:rsid w:val="00D22710"/>
    <w:rsid w:val="00D2417D"/>
    <w:rsid w:val="00D244B8"/>
    <w:rsid w:val="00D259F9"/>
    <w:rsid w:val="00D25CBC"/>
    <w:rsid w:val="00D25D65"/>
    <w:rsid w:val="00D261D9"/>
    <w:rsid w:val="00D2643C"/>
    <w:rsid w:val="00D2679D"/>
    <w:rsid w:val="00D26AFC"/>
    <w:rsid w:val="00D27663"/>
    <w:rsid w:val="00D2768C"/>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7503"/>
    <w:rsid w:val="00D37BF0"/>
    <w:rsid w:val="00D37CB4"/>
    <w:rsid w:val="00D40505"/>
    <w:rsid w:val="00D40767"/>
    <w:rsid w:val="00D40CCF"/>
    <w:rsid w:val="00D412A0"/>
    <w:rsid w:val="00D41665"/>
    <w:rsid w:val="00D42114"/>
    <w:rsid w:val="00D42148"/>
    <w:rsid w:val="00D427E8"/>
    <w:rsid w:val="00D43287"/>
    <w:rsid w:val="00D43659"/>
    <w:rsid w:val="00D43B22"/>
    <w:rsid w:val="00D43C4D"/>
    <w:rsid w:val="00D43D13"/>
    <w:rsid w:val="00D43DCF"/>
    <w:rsid w:val="00D44007"/>
    <w:rsid w:val="00D44A9B"/>
    <w:rsid w:val="00D44E98"/>
    <w:rsid w:val="00D475B5"/>
    <w:rsid w:val="00D47756"/>
    <w:rsid w:val="00D47EAB"/>
    <w:rsid w:val="00D505B7"/>
    <w:rsid w:val="00D50738"/>
    <w:rsid w:val="00D50AC2"/>
    <w:rsid w:val="00D50DBC"/>
    <w:rsid w:val="00D5103B"/>
    <w:rsid w:val="00D51519"/>
    <w:rsid w:val="00D5193F"/>
    <w:rsid w:val="00D52478"/>
    <w:rsid w:val="00D533A5"/>
    <w:rsid w:val="00D534B7"/>
    <w:rsid w:val="00D54096"/>
    <w:rsid w:val="00D558DA"/>
    <w:rsid w:val="00D5642C"/>
    <w:rsid w:val="00D56EC4"/>
    <w:rsid w:val="00D57811"/>
    <w:rsid w:val="00D57BA5"/>
    <w:rsid w:val="00D60294"/>
    <w:rsid w:val="00D60B20"/>
    <w:rsid w:val="00D60B5F"/>
    <w:rsid w:val="00D60F2F"/>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788"/>
    <w:rsid w:val="00D80AB4"/>
    <w:rsid w:val="00D81639"/>
    <w:rsid w:val="00D82204"/>
    <w:rsid w:val="00D825E5"/>
    <w:rsid w:val="00D827BA"/>
    <w:rsid w:val="00D82883"/>
    <w:rsid w:val="00D82CD4"/>
    <w:rsid w:val="00D82CF3"/>
    <w:rsid w:val="00D8338E"/>
    <w:rsid w:val="00D83829"/>
    <w:rsid w:val="00D8388A"/>
    <w:rsid w:val="00D83B2D"/>
    <w:rsid w:val="00D84540"/>
    <w:rsid w:val="00D84A0A"/>
    <w:rsid w:val="00D84F8A"/>
    <w:rsid w:val="00D853AE"/>
    <w:rsid w:val="00D85879"/>
    <w:rsid w:val="00D85F7F"/>
    <w:rsid w:val="00D8608C"/>
    <w:rsid w:val="00D8678D"/>
    <w:rsid w:val="00D867D0"/>
    <w:rsid w:val="00D86855"/>
    <w:rsid w:val="00D86ED8"/>
    <w:rsid w:val="00D8749C"/>
    <w:rsid w:val="00D87B4B"/>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E60"/>
    <w:rsid w:val="00DA0126"/>
    <w:rsid w:val="00DA052D"/>
    <w:rsid w:val="00DA0B69"/>
    <w:rsid w:val="00DA0D8C"/>
    <w:rsid w:val="00DA173C"/>
    <w:rsid w:val="00DA1829"/>
    <w:rsid w:val="00DA2081"/>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5FF7"/>
    <w:rsid w:val="00DB62B8"/>
    <w:rsid w:val="00DB635A"/>
    <w:rsid w:val="00DB6F36"/>
    <w:rsid w:val="00DB7205"/>
    <w:rsid w:val="00DB7BA1"/>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B01"/>
    <w:rsid w:val="00DD1D55"/>
    <w:rsid w:val="00DD2023"/>
    <w:rsid w:val="00DD20DA"/>
    <w:rsid w:val="00DD2119"/>
    <w:rsid w:val="00DD2761"/>
    <w:rsid w:val="00DD2A90"/>
    <w:rsid w:val="00DD2A9F"/>
    <w:rsid w:val="00DD32CC"/>
    <w:rsid w:val="00DD3719"/>
    <w:rsid w:val="00DD3830"/>
    <w:rsid w:val="00DD397E"/>
    <w:rsid w:val="00DD4294"/>
    <w:rsid w:val="00DD4E25"/>
    <w:rsid w:val="00DD5B7A"/>
    <w:rsid w:val="00DD5DC6"/>
    <w:rsid w:val="00DD6165"/>
    <w:rsid w:val="00DD62B9"/>
    <w:rsid w:val="00DD65BB"/>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45A5"/>
    <w:rsid w:val="00DE45AB"/>
    <w:rsid w:val="00DE4615"/>
    <w:rsid w:val="00DE4B04"/>
    <w:rsid w:val="00DE5045"/>
    <w:rsid w:val="00DE50D6"/>
    <w:rsid w:val="00DE5141"/>
    <w:rsid w:val="00DE58A0"/>
    <w:rsid w:val="00DE58DB"/>
    <w:rsid w:val="00DE5B71"/>
    <w:rsid w:val="00DE6F62"/>
    <w:rsid w:val="00DE73FB"/>
    <w:rsid w:val="00DF14E7"/>
    <w:rsid w:val="00DF14F8"/>
    <w:rsid w:val="00DF1529"/>
    <w:rsid w:val="00DF2103"/>
    <w:rsid w:val="00DF232D"/>
    <w:rsid w:val="00DF29F7"/>
    <w:rsid w:val="00DF2D3A"/>
    <w:rsid w:val="00DF30F0"/>
    <w:rsid w:val="00DF34E4"/>
    <w:rsid w:val="00DF3F83"/>
    <w:rsid w:val="00DF4C35"/>
    <w:rsid w:val="00DF570E"/>
    <w:rsid w:val="00DF5951"/>
    <w:rsid w:val="00DF5DC9"/>
    <w:rsid w:val="00DF60AA"/>
    <w:rsid w:val="00DF63A7"/>
    <w:rsid w:val="00DF64AF"/>
    <w:rsid w:val="00DF64D2"/>
    <w:rsid w:val="00DF6698"/>
    <w:rsid w:val="00DF6E30"/>
    <w:rsid w:val="00DF7022"/>
    <w:rsid w:val="00DF719B"/>
    <w:rsid w:val="00DF7992"/>
    <w:rsid w:val="00DF79E4"/>
    <w:rsid w:val="00E00A9A"/>
    <w:rsid w:val="00E0207A"/>
    <w:rsid w:val="00E023E6"/>
    <w:rsid w:val="00E02C35"/>
    <w:rsid w:val="00E02FFE"/>
    <w:rsid w:val="00E0321D"/>
    <w:rsid w:val="00E039A5"/>
    <w:rsid w:val="00E049BD"/>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CF0"/>
    <w:rsid w:val="00E14EEE"/>
    <w:rsid w:val="00E16198"/>
    <w:rsid w:val="00E16243"/>
    <w:rsid w:val="00E1624B"/>
    <w:rsid w:val="00E168EE"/>
    <w:rsid w:val="00E16C42"/>
    <w:rsid w:val="00E1723E"/>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E25"/>
    <w:rsid w:val="00E23F69"/>
    <w:rsid w:val="00E244B9"/>
    <w:rsid w:val="00E2469C"/>
    <w:rsid w:val="00E24CF9"/>
    <w:rsid w:val="00E24FDD"/>
    <w:rsid w:val="00E25159"/>
    <w:rsid w:val="00E253F1"/>
    <w:rsid w:val="00E25577"/>
    <w:rsid w:val="00E2583D"/>
    <w:rsid w:val="00E258AA"/>
    <w:rsid w:val="00E25AC1"/>
    <w:rsid w:val="00E26040"/>
    <w:rsid w:val="00E26466"/>
    <w:rsid w:val="00E27116"/>
    <w:rsid w:val="00E27408"/>
    <w:rsid w:val="00E27FCF"/>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FDF"/>
    <w:rsid w:val="00E4039F"/>
    <w:rsid w:val="00E4112E"/>
    <w:rsid w:val="00E414DC"/>
    <w:rsid w:val="00E418E6"/>
    <w:rsid w:val="00E428BD"/>
    <w:rsid w:val="00E43292"/>
    <w:rsid w:val="00E4333D"/>
    <w:rsid w:val="00E4371F"/>
    <w:rsid w:val="00E444AA"/>
    <w:rsid w:val="00E44845"/>
    <w:rsid w:val="00E448E9"/>
    <w:rsid w:val="00E44FC4"/>
    <w:rsid w:val="00E46206"/>
    <w:rsid w:val="00E46F61"/>
    <w:rsid w:val="00E47413"/>
    <w:rsid w:val="00E47C30"/>
    <w:rsid w:val="00E50C0E"/>
    <w:rsid w:val="00E5168B"/>
    <w:rsid w:val="00E5212B"/>
    <w:rsid w:val="00E52466"/>
    <w:rsid w:val="00E52597"/>
    <w:rsid w:val="00E526FC"/>
    <w:rsid w:val="00E52CF6"/>
    <w:rsid w:val="00E53761"/>
    <w:rsid w:val="00E53870"/>
    <w:rsid w:val="00E538FF"/>
    <w:rsid w:val="00E539AB"/>
    <w:rsid w:val="00E54407"/>
    <w:rsid w:val="00E54DDA"/>
    <w:rsid w:val="00E54F53"/>
    <w:rsid w:val="00E55491"/>
    <w:rsid w:val="00E5628F"/>
    <w:rsid w:val="00E56DE3"/>
    <w:rsid w:val="00E57771"/>
    <w:rsid w:val="00E57C92"/>
    <w:rsid w:val="00E60622"/>
    <w:rsid w:val="00E6079D"/>
    <w:rsid w:val="00E614E8"/>
    <w:rsid w:val="00E6158C"/>
    <w:rsid w:val="00E619AC"/>
    <w:rsid w:val="00E626FE"/>
    <w:rsid w:val="00E63DBA"/>
    <w:rsid w:val="00E6417D"/>
    <w:rsid w:val="00E64BF3"/>
    <w:rsid w:val="00E65E32"/>
    <w:rsid w:val="00E65E64"/>
    <w:rsid w:val="00E66E30"/>
    <w:rsid w:val="00E67387"/>
    <w:rsid w:val="00E67B35"/>
    <w:rsid w:val="00E70266"/>
    <w:rsid w:val="00E702C2"/>
    <w:rsid w:val="00E706BB"/>
    <w:rsid w:val="00E70AFA"/>
    <w:rsid w:val="00E7109D"/>
    <w:rsid w:val="00E718ED"/>
    <w:rsid w:val="00E71B5C"/>
    <w:rsid w:val="00E722D0"/>
    <w:rsid w:val="00E726E2"/>
    <w:rsid w:val="00E7292D"/>
    <w:rsid w:val="00E73CA5"/>
    <w:rsid w:val="00E743A4"/>
    <w:rsid w:val="00E74AAB"/>
    <w:rsid w:val="00E75248"/>
    <w:rsid w:val="00E759E6"/>
    <w:rsid w:val="00E75EC1"/>
    <w:rsid w:val="00E7608E"/>
    <w:rsid w:val="00E76192"/>
    <w:rsid w:val="00E76B1A"/>
    <w:rsid w:val="00E778FF"/>
    <w:rsid w:val="00E804F0"/>
    <w:rsid w:val="00E8090F"/>
    <w:rsid w:val="00E80C37"/>
    <w:rsid w:val="00E80C6A"/>
    <w:rsid w:val="00E81362"/>
    <w:rsid w:val="00E81485"/>
    <w:rsid w:val="00E8170D"/>
    <w:rsid w:val="00E81924"/>
    <w:rsid w:val="00E81A23"/>
    <w:rsid w:val="00E827E9"/>
    <w:rsid w:val="00E82857"/>
    <w:rsid w:val="00E82D58"/>
    <w:rsid w:val="00E8357D"/>
    <w:rsid w:val="00E84077"/>
    <w:rsid w:val="00E841F1"/>
    <w:rsid w:val="00E8430B"/>
    <w:rsid w:val="00E84BDF"/>
    <w:rsid w:val="00E8514E"/>
    <w:rsid w:val="00E86165"/>
    <w:rsid w:val="00E8627A"/>
    <w:rsid w:val="00E866D0"/>
    <w:rsid w:val="00E870F7"/>
    <w:rsid w:val="00E877AC"/>
    <w:rsid w:val="00E87854"/>
    <w:rsid w:val="00E878D3"/>
    <w:rsid w:val="00E87D62"/>
    <w:rsid w:val="00E90DE9"/>
    <w:rsid w:val="00E9110B"/>
    <w:rsid w:val="00E91363"/>
    <w:rsid w:val="00E91570"/>
    <w:rsid w:val="00E91F8B"/>
    <w:rsid w:val="00E928DD"/>
    <w:rsid w:val="00E92EFB"/>
    <w:rsid w:val="00E93DFE"/>
    <w:rsid w:val="00E946D9"/>
    <w:rsid w:val="00E956A8"/>
    <w:rsid w:val="00E959A2"/>
    <w:rsid w:val="00E95FA9"/>
    <w:rsid w:val="00E95FBF"/>
    <w:rsid w:val="00E97863"/>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656F"/>
    <w:rsid w:val="00EA65BC"/>
    <w:rsid w:val="00EA6A17"/>
    <w:rsid w:val="00EA71C0"/>
    <w:rsid w:val="00EA72EC"/>
    <w:rsid w:val="00EA78D0"/>
    <w:rsid w:val="00EB0146"/>
    <w:rsid w:val="00EB057F"/>
    <w:rsid w:val="00EB12DE"/>
    <w:rsid w:val="00EB16F4"/>
    <w:rsid w:val="00EB1E77"/>
    <w:rsid w:val="00EB2405"/>
    <w:rsid w:val="00EB2BB1"/>
    <w:rsid w:val="00EB2CCE"/>
    <w:rsid w:val="00EB351D"/>
    <w:rsid w:val="00EB381C"/>
    <w:rsid w:val="00EB3A29"/>
    <w:rsid w:val="00EB4DCB"/>
    <w:rsid w:val="00EB5120"/>
    <w:rsid w:val="00EB5483"/>
    <w:rsid w:val="00EB6900"/>
    <w:rsid w:val="00EB6BAA"/>
    <w:rsid w:val="00EB6C1F"/>
    <w:rsid w:val="00EB6D2B"/>
    <w:rsid w:val="00EB70E3"/>
    <w:rsid w:val="00EB73B5"/>
    <w:rsid w:val="00EB7555"/>
    <w:rsid w:val="00EB7CAF"/>
    <w:rsid w:val="00EC00A5"/>
    <w:rsid w:val="00EC0636"/>
    <w:rsid w:val="00EC083A"/>
    <w:rsid w:val="00EC0A63"/>
    <w:rsid w:val="00EC0BBB"/>
    <w:rsid w:val="00EC0EDB"/>
    <w:rsid w:val="00EC0F6D"/>
    <w:rsid w:val="00EC1064"/>
    <w:rsid w:val="00EC14BE"/>
    <w:rsid w:val="00EC1707"/>
    <w:rsid w:val="00EC174C"/>
    <w:rsid w:val="00EC1ED8"/>
    <w:rsid w:val="00EC2237"/>
    <w:rsid w:val="00EC2977"/>
    <w:rsid w:val="00EC3DD9"/>
    <w:rsid w:val="00EC46E4"/>
    <w:rsid w:val="00EC4AD3"/>
    <w:rsid w:val="00EC5281"/>
    <w:rsid w:val="00EC5920"/>
    <w:rsid w:val="00EC5A65"/>
    <w:rsid w:val="00EC5F63"/>
    <w:rsid w:val="00EC61AC"/>
    <w:rsid w:val="00EC63A2"/>
    <w:rsid w:val="00ED0065"/>
    <w:rsid w:val="00ED08F3"/>
    <w:rsid w:val="00ED0C6A"/>
    <w:rsid w:val="00ED0DDE"/>
    <w:rsid w:val="00ED152D"/>
    <w:rsid w:val="00ED1949"/>
    <w:rsid w:val="00ED197C"/>
    <w:rsid w:val="00ED2552"/>
    <w:rsid w:val="00ED272C"/>
    <w:rsid w:val="00ED2DDD"/>
    <w:rsid w:val="00ED485F"/>
    <w:rsid w:val="00ED4930"/>
    <w:rsid w:val="00ED4CBB"/>
    <w:rsid w:val="00ED5509"/>
    <w:rsid w:val="00ED55AA"/>
    <w:rsid w:val="00ED55B7"/>
    <w:rsid w:val="00ED5FCE"/>
    <w:rsid w:val="00ED64DE"/>
    <w:rsid w:val="00ED6638"/>
    <w:rsid w:val="00ED6E79"/>
    <w:rsid w:val="00ED712A"/>
    <w:rsid w:val="00ED71A6"/>
    <w:rsid w:val="00ED7F00"/>
    <w:rsid w:val="00EE0028"/>
    <w:rsid w:val="00EE0221"/>
    <w:rsid w:val="00EE03CC"/>
    <w:rsid w:val="00EE051F"/>
    <w:rsid w:val="00EE05B7"/>
    <w:rsid w:val="00EE0C65"/>
    <w:rsid w:val="00EE1282"/>
    <w:rsid w:val="00EE1817"/>
    <w:rsid w:val="00EE1BB8"/>
    <w:rsid w:val="00EE1DD1"/>
    <w:rsid w:val="00EE1FC9"/>
    <w:rsid w:val="00EE2245"/>
    <w:rsid w:val="00EE25F9"/>
    <w:rsid w:val="00EE29AF"/>
    <w:rsid w:val="00EE3463"/>
    <w:rsid w:val="00EE37EE"/>
    <w:rsid w:val="00EE39A4"/>
    <w:rsid w:val="00EE4B59"/>
    <w:rsid w:val="00EE50A8"/>
    <w:rsid w:val="00EE53B9"/>
    <w:rsid w:val="00EE6372"/>
    <w:rsid w:val="00EE7829"/>
    <w:rsid w:val="00EF0279"/>
    <w:rsid w:val="00EF0629"/>
    <w:rsid w:val="00EF09DF"/>
    <w:rsid w:val="00EF0D49"/>
    <w:rsid w:val="00EF1594"/>
    <w:rsid w:val="00EF1C23"/>
    <w:rsid w:val="00EF269C"/>
    <w:rsid w:val="00EF3463"/>
    <w:rsid w:val="00EF36A1"/>
    <w:rsid w:val="00EF389F"/>
    <w:rsid w:val="00EF40A9"/>
    <w:rsid w:val="00EF4251"/>
    <w:rsid w:val="00EF4A6B"/>
    <w:rsid w:val="00EF4CAF"/>
    <w:rsid w:val="00EF4E00"/>
    <w:rsid w:val="00EF540A"/>
    <w:rsid w:val="00EF6405"/>
    <w:rsid w:val="00EF719E"/>
    <w:rsid w:val="00EF76FE"/>
    <w:rsid w:val="00F0064D"/>
    <w:rsid w:val="00F006BC"/>
    <w:rsid w:val="00F0087F"/>
    <w:rsid w:val="00F00C37"/>
    <w:rsid w:val="00F00C86"/>
    <w:rsid w:val="00F01005"/>
    <w:rsid w:val="00F0119D"/>
    <w:rsid w:val="00F020B0"/>
    <w:rsid w:val="00F02F41"/>
    <w:rsid w:val="00F03088"/>
    <w:rsid w:val="00F0433A"/>
    <w:rsid w:val="00F044BF"/>
    <w:rsid w:val="00F04643"/>
    <w:rsid w:val="00F0577A"/>
    <w:rsid w:val="00F0619B"/>
    <w:rsid w:val="00F06B73"/>
    <w:rsid w:val="00F06EF8"/>
    <w:rsid w:val="00F07728"/>
    <w:rsid w:val="00F10A73"/>
    <w:rsid w:val="00F11145"/>
    <w:rsid w:val="00F11700"/>
    <w:rsid w:val="00F118CF"/>
    <w:rsid w:val="00F11F45"/>
    <w:rsid w:val="00F120EC"/>
    <w:rsid w:val="00F12496"/>
    <w:rsid w:val="00F12DC0"/>
    <w:rsid w:val="00F147FA"/>
    <w:rsid w:val="00F1486B"/>
    <w:rsid w:val="00F14D0B"/>
    <w:rsid w:val="00F14FC6"/>
    <w:rsid w:val="00F159F8"/>
    <w:rsid w:val="00F15AA8"/>
    <w:rsid w:val="00F15D77"/>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704B"/>
    <w:rsid w:val="00F302A0"/>
    <w:rsid w:val="00F3080C"/>
    <w:rsid w:val="00F31AD8"/>
    <w:rsid w:val="00F32751"/>
    <w:rsid w:val="00F339CE"/>
    <w:rsid w:val="00F33E76"/>
    <w:rsid w:val="00F342F9"/>
    <w:rsid w:val="00F345C3"/>
    <w:rsid w:val="00F3469B"/>
    <w:rsid w:val="00F348B2"/>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F4E"/>
    <w:rsid w:val="00F44379"/>
    <w:rsid w:val="00F45348"/>
    <w:rsid w:val="00F45CB7"/>
    <w:rsid w:val="00F46B76"/>
    <w:rsid w:val="00F46CC4"/>
    <w:rsid w:val="00F46F21"/>
    <w:rsid w:val="00F47996"/>
    <w:rsid w:val="00F47E58"/>
    <w:rsid w:val="00F50527"/>
    <w:rsid w:val="00F507BE"/>
    <w:rsid w:val="00F50C82"/>
    <w:rsid w:val="00F50F62"/>
    <w:rsid w:val="00F51011"/>
    <w:rsid w:val="00F5126C"/>
    <w:rsid w:val="00F52ED5"/>
    <w:rsid w:val="00F5303D"/>
    <w:rsid w:val="00F5382A"/>
    <w:rsid w:val="00F5391D"/>
    <w:rsid w:val="00F5435D"/>
    <w:rsid w:val="00F54A50"/>
    <w:rsid w:val="00F54F47"/>
    <w:rsid w:val="00F54FAA"/>
    <w:rsid w:val="00F55079"/>
    <w:rsid w:val="00F55896"/>
    <w:rsid w:val="00F55CF9"/>
    <w:rsid w:val="00F56834"/>
    <w:rsid w:val="00F56A8F"/>
    <w:rsid w:val="00F56C00"/>
    <w:rsid w:val="00F571EB"/>
    <w:rsid w:val="00F617DC"/>
    <w:rsid w:val="00F61BCF"/>
    <w:rsid w:val="00F621BD"/>
    <w:rsid w:val="00F627C0"/>
    <w:rsid w:val="00F6348D"/>
    <w:rsid w:val="00F63955"/>
    <w:rsid w:val="00F63A75"/>
    <w:rsid w:val="00F640BF"/>
    <w:rsid w:val="00F6415A"/>
    <w:rsid w:val="00F64753"/>
    <w:rsid w:val="00F64FB0"/>
    <w:rsid w:val="00F651BC"/>
    <w:rsid w:val="00F67165"/>
    <w:rsid w:val="00F672DF"/>
    <w:rsid w:val="00F67894"/>
    <w:rsid w:val="00F67CCA"/>
    <w:rsid w:val="00F67FA4"/>
    <w:rsid w:val="00F7071C"/>
    <w:rsid w:val="00F70B2D"/>
    <w:rsid w:val="00F70B9C"/>
    <w:rsid w:val="00F719E6"/>
    <w:rsid w:val="00F72908"/>
    <w:rsid w:val="00F72E24"/>
    <w:rsid w:val="00F74CF3"/>
    <w:rsid w:val="00F74E2A"/>
    <w:rsid w:val="00F7539A"/>
    <w:rsid w:val="00F754D5"/>
    <w:rsid w:val="00F75864"/>
    <w:rsid w:val="00F76251"/>
    <w:rsid w:val="00F7673F"/>
    <w:rsid w:val="00F76DDA"/>
    <w:rsid w:val="00F76FE8"/>
    <w:rsid w:val="00F8015F"/>
    <w:rsid w:val="00F80505"/>
    <w:rsid w:val="00F807FB"/>
    <w:rsid w:val="00F80C71"/>
    <w:rsid w:val="00F812BA"/>
    <w:rsid w:val="00F82595"/>
    <w:rsid w:val="00F829C9"/>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4B4"/>
    <w:rsid w:val="00F91D32"/>
    <w:rsid w:val="00F92785"/>
    <w:rsid w:val="00F94783"/>
    <w:rsid w:val="00F9524E"/>
    <w:rsid w:val="00F95AA3"/>
    <w:rsid w:val="00F95B43"/>
    <w:rsid w:val="00F95BD7"/>
    <w:rsid w:val="00F95FEA"/>
    <w:rsid w:val="00F960AD"/>
    <w:rsid w:val="00F96489"/>
    <w:rsid w:val="00F964E8"/>
    <w:rsid w:val="00F968CB"/>
    <w:rsid w:val="00F970BA"/>
    <w:rsid w:val="00F97124"/>
    <w:rsid w:val="00F9713C"/>
    <w:rsid w:val="00F97C17"/>
    <w:rsid w:val="00F97FAF"/>
    <w:rsid w:val="00FA002A"/>
    <w:rsid w:val="00FA1420"/>
    <w:rsid w:val="00FA2553"/>
    <w:rsid w:val="00FA318E"/>
    <w:rsid w:val="00FA3375"/>
    <w:rsid w:val="00FA33C9"/>
    <w:rsid w:val="00FA3AFB"/>
    <w:rsid w:val="00FA45A1"/>
    <w:rsid w:val="00FA4AAF"/>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A3"/>
    <w:rsid w:val="00FB520B"/>
    <w:rsid w:val="00FB52E0"/>
    <w:rsid w:val="00FB5342"/>
    <w:rsid w:val="00FB6462"/>
    <w:rsid w:val="00FB6BFE"/>
    <w:rsid w:val="00FB6E80"/>
    <w:rsid w:val="00FB785D"/>
    <w:rsid w:val="00FC001D"/>
    <w:rsid w:val="00FC0108"/>
    <w:rsid w:val="00FC0549"/>
    <w:rsid w:val="00FC083E"/>
    <w:rsid w:val="00FC08A3"/>
    <w:rsid w:val="00FC0AC7"/>
    <w:rsid w:val="00FC11C1"/>
    <w:rsid w:val="00FC1251"/>
    <w:rsid w:val="00FC15D4"/>
    <w:rsid w:val="00FC1AA8"/>
    <w:rsid w:val="00FC1ADC"/>
    <w:rsid w:val="00FC2B12"/>
    <w:rsid w:val="00FC42B7"/>
    <w:rsid w:val="00FC4B93"/>
    <w:rsid w:val="00FC5451"/>
    <w:rsid w:val="00FC5650"/>
    <w:rsid w:val="00FC5979"/>
    <w:rsid w:val="00FC74CA"/>
    <w:rsid w:val="00FC75A5"/>
    <w:rsid w:val="00FC769C"/>
    <w:rsid w:val="00FC7D76"/>
    <w:rsid w:val="00FC7E3A"/>
    <w:rsid w:val="00FD03DA"/>
    <w:rsid w:val="00FD059E"/>
    <w:rsid w:val="00FD0CE4"/>
    <w:rsid w:val="00FD17E9"/>
    <w:rsid w:val="00FD2AC4"/>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61"/>
    <w:rsid w:val="00FE51E3"/>
    <w:rsid w:val="00FE5C1F"/>
    <w:rsid w:val="00FE6398"/>
    <w:rsid w:val="00FE661F"/>
    <w:rsid w:val="00FE68B6"/>
    <w:rsid w:val="00FE6F1B"/>
    <w:rsid w:val="00FE7611"/>
    <w:rsid w:val="00FE783A"/>
    <w:rsid w:val="00FE7D29"/>
    <w:rsid w:val="00FF026D"/>
    <w:rsid w:val="00FF0DB8"/>
    <w:rsid w:val="00FF10AB"/>
    <w:rsid w:val="00FF155B"/>
    <w:rsid w:val="00FF2166"/>
    <w:rsid w:val="00FF244B"/>
    <w:rsid w:val="00FF260A"/>
    <w:rsid w:val="00FF3F3A"/>
    <w:rsid w:val="00FF46E3"/>
    <w:rsid w:val="00FF5474"/>
    <w:rsid w:val="00FF54D0"/>
    <w:rsid w:val="00FF5FFF"/>
    <w:rsid w:val="00FF6FF6"/>
    <w:rsid w:val="00FF7204"/>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840278"/>
  <w15:docId w15:val="{5C3F68FD-D9AD-417D-BCBB-3997486E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B2"/>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2020041191">
          <w:marLeft w:val="0"/>
          <w:marRight w:val="0"/>
          <w:marTop w:val="0"/>
          <w:marBottom w:val="150"/>
          <w:divBdr>
            <w:top w:val="none" w:sz="0" w:space="0" w:color="auto"/>
            <w:left w:val="none" w:sz="0" w:space="0" w:color="auto"/>
            <w:bottom w:val="none" w:sz="0" w:space="0" w:color="auto"/>
            <w:right w:val="none" w:sz="0" w:space="0" w:color="auto"/>
          </w:divBdr>
        </w:div>
        <w:div w:id="1898078886">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1092167359">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289673781">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 w:id="676611782">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751465934">
          <w:marLeft w:val="0"/>
          <w:marRight w:val="0"/>
          <w:marTop w:val="75"/>
          <w:marBottom w:val="75"/>
          <w:divBdr>
            <w:top w:val="none" w:sz="0" w:space="0" w:color="auto"/>
            <w:left w:val="none" w:sz="0" w:space="0" w:color="auto"/>
            <w:bottom w:val="none" w:sz="0" w:space="0" w:color="auto"/>
            <w:right w:val="none" w:sz="0" w:space="0" w:color="auto"/>
          </w:divBdr>
        </w:div>
        <w:div w:id="185751529">
          <w:marLeft w:val="0"/>
          <w:marRight w:val="0"/>
          <w:marTop w:val="75"/>
          <w:marBottom w:val="22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1955480511">
          <w:marLeft w:val="0"/>
          <w:marRight w:val="0"/>
          <w:marTop w:val="0"/>
          <w:marBottom w:val="150"/>
          <w:divBdr>
            <w:top w:val="none" w:sz="0" w:space="0" w:color="auto"/>
            <w:left w:val="none" w:sz="0" w:space="0" w:color="auto"/>
            <w:bottom w:val="none" w:sz="0" w:space="0" w:color="auto"/>
            <w:right w:val="none" w:sz="0" w:space="0" w:color="auto"/>
          </w:divBdr>
        </w:div>
        <w:div w:id="94712170">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2121759734">
          <w:marLeft w:val="0"/>
          <w:marRight w:val="0"/>
          <w:marTop w:val="0"/>
          <w:marBottom w:val="150"/>
          <w:divBdr>
            <w:top w:val="none" w:sz="0" w:space="0" w:color="auto"/>
            <w:left w:val="none" w:sz="0" w:space="0" w:color="auto"/>
            <w:bottom w:val="none" w:sz="0" w:space="0" w:color="auto"/>
            <w:right w:val="none" w:sz="0" w:space="0" w:color="auto"/>
          </w:divBdr>
        </w:div>
        <w:div w:id="969017410">
          <w:marLeft w:val="0"/>
          <w:marRight w:val="0"/>
          <w:marTop w:val="0"/>
          <w:marBottom w:val="150"/>
          <w:divBdr>
            <w:top w:val="none" w:sz="0" w:space="0" w:color="auto"/>
            <w:left w:val="none" w:sz="0" w:space="0" w:color="auto"/>
            <w:bottom w:val="none" w:sz="0" w:space="0" w:color="auto"/>
            <w:right w:val="none" w:sz="0" w:space="0" w:color="auto"/>
          </w:divBdr>
        </w:div>
      </w:divsChild>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34751897">
          <w:marLeft w:val="0"/>
          <w:marRight w:val="0"/>
          <w:marTop w:val="0"/>
          <w:marBottom w:val="150"/>
          <w:divBdr>
            <w:top w:val="none" w:sz="0" w:space="0" w:color="auto"/>
            <w:left w:val="none" w:sz="0" w:space="0" w:color="auto"/>
            <w:bottom w:val="none" w:sz="0" w:space="0" w:color="auto"/>
            <w:right w:val="none" w:sz="0" w:space="0" w:color="auto"/>
          </w:divBdr>
        </w:div>
        <w:div w:id="1618758744">
          <w:marLeft w:val="0"/>
          <w:marRight w:val="0"/>
          <w:marTop w:val="0"/>
          <w:marBottom w:val="150"/>
          <w:divBdr>
            <w:top w:val="none" w:sz="0" w:space="0" w:color="auto"/>
            <w:left w:val="none" w:sz="0" w:space="0" w:color="auto"/>
            <w:bottom w:val="none" w:sz="0" w:space="0" w:color="auto"/>
            <w:right w:val="none" w:sz="0" w:space="0" w:color="auto"/>
          </w:divBdr>
        </w:div>
      </w:divsChild>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2013677850">
          <w:marLeft w:val="0"/>
          <w:marRight w:val="0"/>
          <w:marTop w:val="0"/>
          <w:marBottom w:val="150"/>
          <w:divBdr>
            <w:top w:val="none" w:sz="0" w:space="0" w:color="auto"/>
            <w:left w:val="none" w:sz="0" w:space="0" w:color="auto"/>
            <w:bottom w:val="none" w:sz="0" w:space="0" w:color="auto"/>
            <w:right w:val="none" w:sz="0" w:space="0" w:color="auto"/>
          </w:divBdr>
        </w:div>
        <w:div w:id="1966891675">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ites.ed.gov/idea/files/2023_Part-B_SPP-APR_Measurement_Tabl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7" ma:contentTypeDescription="Create a new document." ma:contentTypeScope="" ma:versionID="fa7d77bff97a508f6e9412c456c70e26">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c21734876ac1b5cb3b8ed04ca5d7a1a9"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TaxCatchAll xmlns="4f36bac4-6705-4a36-974b-7c07450fedf2" xsi:nil="true"/>
    <lcf76f155ced4ddcb4097134ff3c332f xmlns="292db1e8-b3d0-4356-8ef3-2a6d7ed77883">
      <Terms xmlns="http://schemas.microsoft.com/office/infopath/2007/PartnerControls"/>
    </lcf76f155ced4ddcb4097134ff3c332f>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4A0DE-7E98-439B-9041-155D165FF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customXml/itemProps3.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4.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docMetadata/LabelInfo.xml><?xml version="1.0" encoding="utf-8"?>
<clbl:labelList xmlns:clbl="http://schemas.microsoft.com/office/2020/mipLabelMetadata">
  <clbl:label id="{4ad35bab-6e18-4b1b-82b4-d81f4f36a979}" enabled="1" method="Standard" siteId="{7a41925e-f697-4f7c-bec3-0470887ac75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47453</Words>
  <Characters>270486</Characters>
  <Application>Microsoft Office Word</Application>
  <DocSecurity>0</DocSecurity>
  <Lines>2254</Lines>
  <Paragraphs>634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O'Grady</dc:creator>
  <cp:lastModifiedBy>Travis Thompson</cp:lastModifiedBy>
  <cp:revision>2</cp:revision>
  <cp:lastPrinted>2014-08-19T16:56:00Z</cp:lastPrinted>
  <dcterms:created xsi:type="dcterms:W3CDTF">2024-04-04T19:25:00Z</dcterms:created>
  <dcterms:modified xsi:type="dcterms:W3CDTF">2024-04-04T19:25:00Z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ies>
</file>