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DC7EB" w14:textId="03DBBD02" w:rsidR="00526EB7" w:rsidRDefault="00B36876" w:rsidP="00526EB7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1FEEA78E" wp14:editId="48EEB141">
            <wp:extent cx="3200400" cy="100149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OME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860" cy="10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B431C" w14:textId="77777777" w:rsidR="001C43A2" w:rsidRPr="00350373" w:rsidRDefault="00526EB7" w:rsidP="00350373">
      <w:pPr>
        <w:pStyle w:val="BlockText"/>
      </w:pPr>
      <w:bookmarkStart w:id="0" w:name="_GoBack"/>
      <w:bookmarkEnd w:id="0"/>
      <w:r w:rsidRPr="00296939">
        <w:t>State of Oklahoma</w:t>
      </w:r>
    </w:p>
    <w:p w14:paraId="655A609C" w14:textId="77777777" w:rsidR="00526EB7" w:rsidRPr="00167DA9" w:rsidRDefault="00526EB7" w:rsidP="00296939">
      <w:pPr>
        <w:pStyle w:val="BlockText"/>
      </w:pPr>
      <w:r w:rsidRPr="00167DA9">
        <w:t>Office of Management and Enterprise Services</w:t>
      </w:r>
    </w:p>
    <w:p w14:paraId="57393FE6" w14:textId="77777777" w:rsidR="00526EB7" w:rsidRPr="00167DA9" w:rsidRDefault="00526EB7" w:rsidP="00296939">
      <w:pPr>
        <w:pStyle w:val="BlockText"/>
        <w:rPr>
          <w:sz w:val="28"/>
          <w:szCs w:val="28"/>
        </w:rPr>
      </w:pPr>
      <w:r w:rsidRPr="00167DA9">
        <w:t>Polici</w:t>
      </w:r>
      <w:r w:rsidRPr="00322D94">
        <w:rPr>
          <w:b w:val="0"/>
        </w:rPr>
        <w:t>e</w:t>
      </w:r>
      <w:r w:rsidRPr="00167DA9">
        <w:t>s and Procedures</w:t>
      </w:r>
    </w:p>
    <w:p w14:paraId="4A5544BA" w14:textId="77777777" w:rsidR="002C3777" w:rsidRPr="00322D94" w:rsidRDefault="005C6706" w:rsidP="00322D94">
      <w:pPr>
        <w:pStyle w:val="Heading1"/>
      </w:pPr>
      <w:r>
        <w:t>Open Records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4501"/>
        <w:gridCol w:w="4849"/>
      </w:tblGrid>
      <w:tr w:rsidR="00526EB7" w:rsidRPr="00167DA9" w14:paraId="150175C7" w14:textId="77777777" w:rsidTr="006E2645">
        <w:trPr>
          <w:jc w:val="center"/>
        </w:trPr>
        <w:tc>
          <w:tcPr>
            <w:tcW w:w="4608" w:type="dxa"/>
          </w:tcPr>
          <w:p w14:paraId="443A7C2C" w14:textId="77777777" w:rsidR="00526EB7" w:rsidRPr="00787FBA" w:rsidRDefault="00526EB7" w:rsidP="00787FBA">
            <w:pPr>
              <w:pStyle w:val="BodyText2"/>
            </w:pPr>
            <w:r w:rsidRPr="00787FBA">
              <w:t>Effective Date of Policy</w:t>
            </w:r>
            <w:r w:rsidR="00420B8B" w:rsidRPr="00787FBA">
              <w:t>:</w:t>
            </w:r>
            <w:r w:rsidR="00987CB2" w:rsidRPr="00787FBA">
              <w:t xml:space="preserve"> 04/01/2019</w:t>
            </w:r>
          </w:p>
        </w:tc>
        <w:tc>
          <w:tcPr>
            <w:tcW w:w="4968" w:type="dxa"/>
          </w:tcPr>
          <w:p w14:paraId="12BA6D58" w14:textId="77777777" w:rsidR="00526EB7" w:rsidRPr="00787FBA" w:rsidRDefault="00526EB7" w:rsidP="00787FBA">
            <w:pPr>
              <w:pStyle w:val="BodyText2"/>
            </w:pPr>
            <w:r w:rsidRPr="00787FBA">
              <w:t>Next Scheduled Review:</w:t>
            </w:r>
            <w:r w:rsidR="002C3777" w:rsidRPr="00787FBA">
              <w:t xml:space="preserve"> </w:t>
            </w:r>
            <w:r w:rsidR="00EE451E" w:rsidRPr="00787FBA">
              <w:t>04/18/2020</w:t>
            </w:r>
          </w:p>
        </w:tc>
      </w:tr>
      <w:tr w:rsidR="00526EB7" w:rsidRPr="00167DA9" w14:paraId="2CDBD7C8" w14:textId="77777777" w:rsidTr="006E2645">
        <w:trPr>
          <w:jc w:val="center"/>
        </w:trPr>
        <w:tc>
          <w:tcPr>
            <w:tcW w:w="4608" w:type="dxa"/>
          </w:tcPr>
          <w:p w14:paraId="74101E98" w14:textId="77777777" w:rsidR="00526EB7" w:rsidRPr="00787FBA" w:rsidRDefault="00D512A3" w:rsidP="00787FBA">
            <w:pPr>
              <w:pStyle w:val="BodyText2"/>
            </w:pPr>
            <w:r w:rsidRPr="00787FBA">
              <w:t>Effective Date of Original</w:t>
            </w:r>
            <w:r w:rsidR="00C23FC3" w:rsidRPr="00787FBA">
              <w:t xml:space="preserve"> Policy:</w:t>
            </w:r>
            <w:r w:rsidR="002C3777" w:rsidRPr="00787FBA">
              <w:t xml:space="preserve"> </w:t>
            </w:r>
            <w:r w:rsidRPr="00787FBA">
              <w:t>02/13/2013</w:t>
            </w:r>
          </w:p>
        </w:tc>
        <w:tc>
          <w:tcPr>
            <w:tcW w:w="4968" w:type="dxa"/>
          </w:tcPr>
          <w:p w14:paraId="29729C1D" w14:textId="77777777" w:rsidR="00526EB7" w:rsidRPr="00787FBA" w:rsidRDefault="00526EB7" w:rsidP="00787FBA">
            <w:pPr>
              <w:pStyle w:val="BodyText2"/>
            </w:pPr>
            <w:r w:rsidRPr="00787FBA">
              <w:t>Policy Number:</w:t>
            </w:r>
            <w:r w:rsidR="002C3777" w:rsidRPr="00787FBA">
              <w:t xml:space="preserve"> </w:t>
            </w:r>
            <w:r w:rsidR="00B32DD2" w:rsidRPr="00787FBA">
              <w:t>OMES-01</w:t>
            </w:r>
            <w:r w:rsidR="00B17B23" w:rsidRPr="00787FBA">
              <w:t>1</w:t>
            </w:r>
          </w:p>
        </w:tc>
      </w:tr>
      <w:tr w:rsidR="00526EB7" w:rsidRPr="00167DA9" w14:paraId="231801A2" w14:textId="77777777" w:rsidTr="006E2645">
        <w:trPr>
          <w:jc w:val="center"/>
        </w:trPr>
        <w:tc>
          <w:tcPr>
            <w:tcW w:w="4608" w:type="dxa"/>
          </w:tcPr>
          <w:p w14:paraId="08F1E5EE" w14:textId="77777777" w:rsidR="00526EB7" w:rsidRPr="00787FBA" w:rsidRDefault="00526EB7" w:rsidP="00787FBA">
            <w:pPr>
              <w:pStyle w:val="BodyText2"/>
            </w:pPr>
            <w:r w:rsidRPr="00787FBA">
              <w:t>Last Reviewed:</w:t>
            </w:r>
            <w:r w:rsidR="002C3777" w:rsidRPr="00787FBA">
              <w:t xml:space="preserve"> </w:t>
            </w:r>
            <w:r w:rsidR="00987CB2" w:rsidRPr="00787FBA">
              <w:t>02/25/2019</w:t>
            </w:r>
          </w:p>
        </w:tc>
        <w:tc>
          <w:tcPr>
            <w:tcW w:w="4968" w:type="dxa"/>
          </w:tcPr>
          <w:p w14:paraId="430E9FDF" w14:textId="77777777" w:rsidR="00526EB7" w:rsidRPr="00787FBA" w:rsidRDefault="00526EB7" w:rsidP="00787FBA">
            <w:pPr>
              <w:pStyle w:val="BodyText2"/>
            </w:pPr>
            <w:r w:rsidRPr="00787FBA">
              <w:t>Replaces Policy Number:</w:t>
            </w:r>
            <w:r w:rsidR="002C3777" w:rsidRPr="00787FBA">
              <w:t xml:space="preserve"> </w:t>
            </w:r>
            <w:r w:rsidR="00286DA4" w:rsidRPr="00787FBA">
              <w:t>Not Numbered</w:t>
            </w:r>
          </w:p>
        </w:tc>
      </w:tr>
      <w:tr w:rsidR="00526EB7" w:rsidRPr="00167DA9" w14:paraId="6AB7B22D" w14:textId="77777777" w:rsidTr="006E2645">
        <w:trPr>
          <w:jc w:val="center"/>
        </w:trPr>
        <w:tc>
          <w:tcPr>
            <w:tcW w:w="4608" w:type="dxa"/>
          </w:tcPr>
          <w:p w14:paraId="6B037299" w14:textId="77777777" w:rsidR="00526EB7" w:rsidRPr="00787FBA" w:rsidRDefault="00C23FC3" w:rsidP="00787FBA">
            <w:pPr>
              <w:pStyle w:val="BodyText2"/>
            </w:pPr>
            <w:r w:rsidRPr="00787FBA">
              <w:t>Date Policy Last Revised:</w:t>
            </w:r>
            <w:r w:rsidR="002C3777" w:rsidRPr="00787FBA">
              <w:t xml:space="preserve"> </w:t>
            </w:r>
            <w:r w:rsidR="00BA76E5" w:rsidRPr="00787FBA">
              <w:t>06/06/2018</w:t>
            </w:r>
          </w:p>
        </w:tc>
        <w:tc>
          <w:tcPr>
            <w:tcW w:w="4968" w:type="dxa"/>
          </w:tcPr>
          <w:p w14:paraId="7E50541C" w14:textId="77777777" w:rsidR="00526EB7" w:rsidRPr="00787FBA" w:rsidRDefault="00526EB7" w:rsidP="00787FBA">
            <w:pPr>
              <w:pStyle w:val="BodyText2"/>
            </w:pPr>
          </w:p>
        </w:tc>
      </w:tr>
      <w:tr w:rsidR="00526EB7" w:rsidRPr="00167DA9" w14:paraId="78F3AA02" w14:textId="77777777" w:rsidTr="006E2645">
        <w:trPr>
          <w:jc w:val="center"/>
        </w:trPr>
        <w:tc>
          <w:tcPr>
            <w:tcW w:w="4608" w:type="dxa"/>
          </w:tcPr>
          <w:p w14:paraId="243B59DE" w14:textId="77777777" w:rsidR="00526EB7" w:rsidRPr="00787FBA" w:rsidRDefault="00526EB7" w:rsidP="00787FBA">
            <w:pPr>
              <w:pStyle w:val="BodyText2"/>
            </w:pPr>
            <w:r w:rsidRPr="00787FBA">
              <w:t>Approved:</w:t>
            </w:r>
            <w:r w:rsidR="00991557" w:rsidRPr="00787FBA">
              <w:t xml:space="preserve"> </w:t>
            </w:r>
            <w:r w:rsidR="00420B8B" w:rsidRPr="00787FBA">
              <w:t>Dana Webb, as Designee of OMES</w:t>
            </w:r>
            <w:r w:rsidR="00625A55" w:rsidRPr="00787FBA">
              <w:t xml:space="preserve"> </w:t>
            </w:r>
            <w:r w:rsidR="00420B8B" w:rsidRPr="00787FBA">
              <w:t>Director John Budd</w:t>
            </w:r>
          </w:p>
        </w:tc>
        <w:tc>
          <w:tcPr>
            <w:tcW w:w="4968" w:type="dxa"/>
          </w:tcPr>
          <w:p w14:paraId="13F3543F" w14:textId="77777777" w:rsidR="00526EB7" w:rsidRPr="00787FBA" w:rsidRDefault="00526EB7" w:rsidP="00787FBA">
            <w:pPr>
              <w:pStyle w:val="BodyText2"/>
            </w:pPr>
            <w:r w:rsidRPr="00787FBA">
              <w:t>Approval Date:</w:t>
            </w:r>
            <w:r w:rsidR="004F53D2" w:rsidRPr="00787FBA">
              <w:t xml:space="preserve"> 02/25/2019</w:t>
            </w:r>
          </w:p>
        </w:tc>
      </w:tr>
    </w:tbl>
    <w:p w14:paraId="36CE069D" w14:textId="77777777" w:rsidR="005C6706" w:rsidRPr="005C6706" w:rsidRDefault="00296939" w:rsidP="00787FBA">
      <w:pPr>
        <w:pStyle w:val="Heading2"/>
      </w:pPr>
      <w:r>
        <w:t>Policy</w:t>
      </w:r>
    </w:p>
    <w:p w14:paraId="18E0807E" w14:textId="77777777" w:rsidR="005C6706" w:rsidRPr="005C6706" w:rsidRDefault="005C6706" w:rsidP="00787FBA">
      <w:pPr>
        <w:pStyle w:val="BodyText"/>
      </w:pPr>
      <w:r>
        <w:t xml:space="preserve">It is the policy of the Office of </w:t>
      </w:r>
      <w:r w:rsidR="00350373">
        <w:t>Management</w:t>
      </w:r>
      <w:r>
        <w:t xml:space="preserve"> and Enterprise Services (OMES) and its division</w:t>
      </w:r>
      <w:r w:rsidR="00286DA4">
        <w:t>s</w:t>
      </w:r>
      <w:r>
        <w:t xml:space="preserve"> to fully comply with all facets of the State’s </w:t>
      </w:r>
      <w:r w:rsidRPr="00BA76E5">
        <w:rPr>
          <w:i/>
        </w:rPr>
        <w:t>Open Records Act</w:t>
      </w:r>
      <w:r>
        <w:t xml:space="preserve"> found at 51 O.S. §§24A.1-24A.29.</w:t>
      </w:r>
    </w:p>
    <w:p w14:paraId="77AE11E0" w14:textId="77777777" w:rsidR="00296939" w:rsidRDefault="00296939" w:rsidP="00787FBA">
      <w:pPr>
        <w:pStyle w:val="Heading2"/>
      </w:pPr>
      <w:r>
        <w:t>Implementation</w:t>
      </w:r>
    </w:p>
    <w:p w14:paraId="6BF0AFBD" w14:textId="77777777" w:rsidR="005A1471" w:rsidRDefault="005C6706" w:rsidP="00787FBA">
      <w:pPr>
        <w:pStyle w:val="BodyText"/>
      </w:pPr>
      <w:r>
        <w:t>The OMES Director of Public Affairs shall handle all news media inquiries and related Open Records requests for all divisions of the agency.</w:t>
      </w:r>
      <w:r w:rsidR="003D0B2A">
        <w:t xml:space="preserve"> </w:t>
      </w:r>
      <w:r>
        <w:t>Administrators and employees shall expeditiously forward all such requests to that official.</w:t>
      </w:r>
      <w:r w:rsidR="003D0B2A">
        <w:t xml:space="preserve"> </w:t>
      </w:r>
      <w:r>
        <w:t>When possible, records provided in response to news media inquiries should be delivered electronically by the Director of Public Affairs.</w:t>
      </w:r>
      <w:r w:rsidR="003D0B2A">
        <w:t xml:space="preserve"> </w:t>
      </w:r>
      <w:r>
        <w:t>Non-media Open Records requests will be handled by division administrators and/or their designees, working with legal counsel</w:t>
      </w:r>
      <w:r w:rsidR="00EE451E">
        <w:t>.</w:t>
      </w:r>
      <w:r w:rsidR="003D0B2A">
        <w:t xml:space="preserve"> </w:t>
      </w:r>
      <w:r>
        <w:t>The Direct</w:t>
      </w:r>
      <w:r w:rsidR="00286DA4">
        <w:t xml:space="preserve">or of Public Affairs shall </w:t>
      </w:r>
      <w:r>
        <w:t xml:space="preserve">be notified when a non-media Open Records request is filed and when it is </w:t>
      </w:r>
      <w:r w:rsidR="00286DA4">
        <w:t>ful</w:t>
      </w:r>
      <w:r>
        <w:t>filled.</w:t>
      </w:r>
      <w:r w:rsidR="003D0B2A">
        <w:t xml:space="preserve"> </w:t>
      </w:r>
      <w:r>
        <w:t>The Director of Public Affairs shall keep the Director</w:t>
      </w:r>
      <w:r w:rsidR="005B30B8">
        <w:t xml:space="preserve"> of OMES</w:t>
      </w:r>
      <w:r>
        <w:t xml:space="preserve"> informed of pertinent Open Records requests.</w:t>
      </w:r>
      <w:r w:rsidR="003D0B2A">
        <w:t xml:space="preserve"> </w:t>
      </w:r>
      <w:r>
        <w:t xml:space="preserve">OMES Legal and the Director of Public Affairs </w:t>
      </w:r>
      <w:r w:rsidR="00350373">
        <w:t xml:space="preserve">shall be consulted if it is anticipated an Open Records </w:t>
      </w:r>
      <w:r w:rsidR="003D0B2A">
        <w:t>r</w:t>
      </w:r>
      <w:r w:rsidR="00350373">
        <w:t>equest will clearly cause disruption of essential agency functions, will take longer than one</w:t>
      </w:r>
      <w:r w:rsidR="003D0B2A">
        <w:t xml:space="preserve"> (1)</w:t>
      </w:r>
      <w:r w:rsidR="00350373">
        <w:t xml:space="preserve"> month to fulfill, or if there is a question about whether certain records are exempt from the </w:t>
      </w:r>
      <w:r w:rsidR="00350373" w:rsidRPr="00BA76E5">
        <w:rPr>
          <w:i/>
        </w:rPr>
        <w:t>Open Records Act</w:t>
      </w:r>
      <w:r w:rsidR="00350373">
        <w:t>.</w:t>
      </w:r>
      <w:r w:rsidR="003D0B2A">
        <w:t xml:space="preserve"> </w:t>
      </w:r>
      <w:r w:rsidR="00350373">
        <w:t>All divisions</w:t>
      </w:r>
      <w:r w:rsidR="00F411C8">
        <w:t xml:space="preserve"> shall</w:t>
      </w:r>
      <w:r w:rsidR="00350373">
        <w:t xml:space="preserve"> ask that Open Records requests be put in writing.</w:t>
      </w:r>
    </w:p>
    <w:p w14:paraId="0B92DF1F" w14:textId="77777777" w:rsidR="0067660C" w:rsidRDefault="0067660C" w:rsidP="00787FBA">
      <w:pPr>
        <w:pStyle w:val="BodyText"/>
      </w:pPr>
      <w:r>
        <w:t xml:space="preserve">All charges or fees for public records shall be in compliance with the </w:t>
      </w:r>
      <w:r w:rsidR="003D0B2A">
        <w:t xml:space="preserve">State’s </w:t>
      </w:r>
      <w:r w:rsidRPr="00BA76E5">
        <w:rPr>
          <w:i/>
        </w:rPr>
        <w:t>Open Records Act</w:t>
      </w:r>
      <w:r>
        <w:t>.</w:t>
      </w:r>
    </w:p>
    <w:p w14:paraId="1C866CAC" w14:textId="77777777" w:rsidR="0079027E" w:rsidRDefault="0079027E" w:rsidP="00787FBA">
      <w:pPr>
        <w:pStyle w:val="BodyText"/>
      </w:pPr>
      <w:r>
        <w:t>All non-media and/or commercial requests will be charge</w:t>
      </w:r>
      <w:r w:rsidR="0067660C">
        <w:t>d</w:t>
      </w:r>
      <w:r>
        <w:t xml:space="preserve"> a fee consistent with OMES Open Records Fee Schedule. </w:t>
      </w:r>
      <w:r w:rsidR="0067660C">
        <w:t>The direct costs of the record search fee is in accordance with the following methodology:</w:t>
      </w:r>
    </w:p>
    <w:p w14:paraId="6C03D61A" w14:textId="77777777" w:rsidR="0067660C" w:rsidRDefault="0067660C" w:rsidP="00787FBA">
      <w:pPr>
        <w:pStyle w:val="BodyText"/>
      </w:pPr>
      <w:r>
        <w:t>All sear</w:t>
      </w:r>
      <w:r w:rsidR="00727253">
        <w:t>ches</w:t>
      </w:r>
      <w:r>
        <w:t xml:space="preserve"> sh</w:t>
      </w:r>
      <w:r w:rsidR="00727253">
        <w:t>all be billed at the rate of $40</w:t>
      </w:r>
      <w:r>
        <w:t>.00 per documented hour.</w:t>
      </w:r>
    </w:p>
    <w:p w14:paraId="6A39988E" w14:textId="5CD4754C" w:rsidR="00991557" w:rsidRPr="00A44F49" w:rsidRDefault="00B36876" w:rsidP="005A1471">
      <w:pPr>
        <w:spacing w:after="0" w:line="240" w:lineRule="auto"/>
      </w:pPr>
      <w:hyperlink r:id="rId9" w:history="1">
        <w:r w:rsidR="00787FBA">
          <w:rPr>
            <w:rStyle w:val="Hyperlink"/>
          </w:rPr>
          <w:t>OMES</w:t>
        </w:r>
        <w:r w:rsidR="00286DA4" w:rsidRPr="003568DB">
          <w:rPr>
            <w:rStyle w:val="Hyperlink"/>
          </w:rPr>
          <w:t xml:space="preserve"> Open Records Request Form</w:t>
        </w:r>
      </w:hyperlink>
      <w:r w:rsidR="00286DA4">
        <w:t xml:space="preserve"> </w:t>
      </w:r>
    </w:p>
    <w:sectPr w:rsidR="00991557" w:rsidRPr="00A44F49" w:rsidSect="005A14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4EE7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C416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005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A653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CA44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529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E40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DC4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847DF"/>
    <w:multiLevelType w:val="hybridMultilevel"/>
    <w:tmpl w:val="FC6C6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1C"/>
    <w:rsid w:val="00063190"/>
    <w:rsid w:val="000C2645"/>
    <w:rsid w:val="00106B5D"/>
    <w:rsid w:val="00192887"/>
    <w:rsid w:val="001C43A2"/>
    <w:rsid w:val="00286DA4"/>
    <w:rsid w:val="00296939"/>
    <w:rsid w:val="002B2DE4"/>
    <w:rsid w:val="002C3777"/>
    <w:rsid w:val="00322D94"/>
    <w:rsid w:val="00350373"/>
    <w:rsid w:val="003568DB"/>
    <w:rsid w:val="003D0B2A"/>
    <w:rsid w:val="00420B8B"/>
    <w:rsid w:val="00437D9E"/>
    <w:rsid w:val="004F37CB"/>
    <w:rsid w:val="004F53D2"/>
    <w:rsid w:val="00526EB7"/>
    <w:rsid w:val="005A1471"/>
    <w:rsid w:val="005B30B8"/>
    <w:rsid w:val="005C6706"/>
    <w:rsid w:val="00606EBD"/>
    <w:rsid w:val="00625A55"/>
    <w:rsid w:val="00627E9B"/>
    <w:rsid w:val="0067660C"/>
    <w:rsid w:val="006E2645"/>
    <w:rsid w:val="00727253"/>
    <w:rsid w:val="00731B49"/>
    <w:rsid w:val="00787FBA"/>
    <w:rsid w:val="0079027E"/>
    <w:rsid w:val="007B1C41"/>
    <w:rsid w:val="0084234B"/>
    <w:rsid w:val="00882F53"/>
    <w:rsid w:val="008E13DB"/>
    <w:rsid w:val="0095733D"/>
    <w:rsid w:val="00975BF9"/>
    <w:rsid w:val="00987CB2"/>
    <w:rsid w:val="00991557"/>
    <w:rsid w:val="00A44F49"/>
    <w:rsid w:val="00A82186"/>
    <w:rsid w:val="00B17B23"/>
    <w:rsid w:val="00B32DD2"/>
    <w:rsid w:val="00B36876"/>
    <w:rsid w:val="00BA76E5"/>
    <w:rsid w:val="00C23FC3"/>
    <w:rsid w:val="00D512A3"/>
    <w:rsid w:val="00DB3ACD"/>
    <w:rsid w:val="00DB7677"/>
    <w:rsid w:val="00E94707"/>
    <w:rsid w:val="00E94C5E"/>
    <w:rsid w:val="00EE451E"/>
    <w:rsid w:val="00F04EA0"/>
    <w:rsid w:val="00F411C8"/>
    <w:rsid w:val="00F6321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80D1"/>
  <w15:docId w15:val="{28E0F15E-BE20-47BD-A762-9E07E04B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39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D94"/>
    <w:pPr>
      <w:spacing w:before="240" w:after="24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FBA"/>
    <w:pPr>
      <w:keepNext/>
      <w:keepLines/>
      <w:spacing w:before="240" w:after="240" w:line="24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645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52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2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87FBA"/>
    <w:pPr>
      <w:spacing w:before="240" w:after="240" w:line="240" w:lineRule="auto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787FBA"/>
    <w:rPr>
      <w:rFonts w:ascii="Calibri" w:hAnsi="Calibri"/>
      <w:sz w:val="24"/>
    </w:rPr>
  </w:style>
  <w:style w:type="paragraph" w:styleId="Index6">
    <w:name w:val="index 6"/>
    <w:basedOn w:val="Normal"/>
    <w:next w:val="Normal"/>
    <w:autoRedefine/>
    <w:uiPriority w:val="99"/>
    <w:unhideWhenUsed/>
    <w:rsid w:val="00296939"/>
    <w:pPr>
      <w:spacing w:after="0" w:line="240" w:lineRule="auto"/>
      <w:ind w:left="1440" w:hanging="240"/>
    </w:pPr>
  </w:style>
  <w:style w:type="character" w:customStyle="1" w:styleId="Heading2Char">
    <w:name w:val="Heading 2 Char"/>
    <w:basedOn w:val="DefaultParagraphFont"/>
    <w:link w:val="Heading2"/>
    <w:uiPriority w:val="9"/>
    <w:rsid w:val="00787FBA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2D94"/>
    <w:rPr>
      <w:b/>
      <w:sz w:val="28"/>
      <w:szCs w:val="28"/>
    </w:rPr>
  </w:style>
  <w:style w:type="paragraph" w:styleId="BlockText">
    <w:name w:val="Block Text"/>
    <w:basedOn w:val="Normal"/>
    <w:uiPriority w:val="99"/>
    <w:unhideWhenUsed/>
    <w:rsid w:val="00296939"/>
    <w:pPr>
      <w:spacing w:after="0" w:line="240" w:lineRule="auto"/>
      <w:jc w:val="center"/>
    </w:pPr>
    <w:rPr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2645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3568DB"/>
    <w:rPr>
      <w:color w:val="0000FF" w:themeColor="hyperlink"/>
      <w:u w:val="single"/>
    </w:rPr>
  </w:style>
  <w:style w:type="paragraph" w:styleId="BodyText2">
    <w:name w:val="Body Text 2"/>
    <w:basedOn w:val="BodyText"/>
    <w:link w:val="BodyText2Char"/>
    <w:uiPriority w:val="99"/>
    <w:unhideWhenUsed/>
    <w:rsid w:val="00787FBA"/>
    <w:pPr>
      <w:spacing w:before="0" w:after="0"/>
    </w:pPr>
    <w:rPr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87FBA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mes.ok.gov/forms/open-records-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4385B-6628-4C7B-AA4E-AA458E0B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2A0EA-5FBB-4567-81B2-7197E01C6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6C91A-3929-44D7-8839-99CCEC3C760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ec6b55d-3de3-4884-82c9-9045bd390d40"/>
    <ds:schemaRef ds:uri="http://schemas.openxmlformats.org/package/2006/metadata/core-properties"/>
    <ds:schemaRef ds:uri="http://schemas.microsoft.com/sharepoint/v3"/>
    <ds:schemaRef ds:uri="2616b61c-01e3-420e-954d-f9606dbef89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Open Records Policy</vt:lpstr>
    </vt:vector>
  </TitlesOfParts>
  <Company>OSEEGIB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 Open Records Policy</dc:title>
  <dc:subject>Official Open Records Policy of the State of Oklahoma Office of Management and Enterprise Services.</dc:subject>
  <dc:creator>Matt Stewart</dc:creator>
  <cp:keywords>open, record, policy, state, Oklahoma, omes, office, management, enterprise, service</cp:keywords>
  <cp:lastModifiedBy>Jake Lowrey</cp:lastModifiedBy>
  <cp:revision>2</cp:revision>
  <cp:lastPrinted>2018-06-04T19:14:00Z</cp:lastPrinted>
  <dcterms:created xsi:type="dcterms:W3CDTF">2020-09-09T13:50:00Z</dcterms:created>
  <dcterms:modified xsi:type="dcterms:W3CDTF">2020-09-09T13:50:00Z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Group">
    <vt:lpwstr>Policy</vt:lpwstr>
  </property>
  <property fmtid="{D5CDD505-2E9C-101B-9397-08002B2CF9AE}" pid="4" name="ContentTypeId">
    <vt:lpwstr>0x0101005C132B3286FF8346B22D1DA34C0719AC</vt:lpwstr>
  </property>
</Properties>
</file>