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33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87"/>
        <w:gridCol w:w="1304"/>
        <w:gridCol w:w="307"/>
        <w:gridCol w:w="1045"/>
        <w:gridCol w:w="535"/>
        <w:gridCol w:w="1567"/>
        <w:gridCol w:w="188"/>
        <w:gridCol w:w="96"/>
        <w:gridCol w:w="560"/>
        <w:gridCol w:w="90"/>
        <w:gridCol w:w="463"/>
        <w:gridCol w:w="89"/>
        <w:gridCol w:w="537"/>
        <w:gridCol w:w="144"/>
        <w:gridCol w:w="1151"/>
        <w:gridCol w:w="509"/>
        <w:gridCol w:w="167"/>
        <w:gridCol w:w="290"/>
        <w:gridCol w:w="107"/>
        <w:gridCol w:w="559"/>
        <w:gridCol w:w="287"/>
        <w:gridCol w:w="164"/>
        <w:gridCol w:w="9"/>
        <w:gridCol w:w="80"/>
      </w:tblGrid>
      <w:tr w:rsidR="00977E0D" w14:paraId="23849B94" w14:textId="77777777" w:rsidTr="009F3C00">
        <w:trPr>
          <w:gridAfter w:val="2"/>
          <w:wAfter w:w="88" w:type="dxa"/>
          <w:trHeight w:val="126"/>
        </w:trPr>
        <w:tc>
          <w:tcPr>
            <w:tcW w:w="1699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</w:tcPr>
          <w:p w14:paraId="2629A0DE" w14:textId="4D045E14" w:rsidR="00977E0D" w:rsidRDefault="004B65EB" w:rsidP="001C5DDD">
            <w:pPr>
              <w:spacing w:beforeLines="50" w:before="120"/>
            </w:pPr>
            <w:r>
              <w:t>11/12</w:t>
            </w:r>
            <w:r w:rsidR="00BD278A">
              <w:t>/2020</w:t>
            </w:r>
            <w:bookmarkStart w:id="0" w:name="_GoBack"/>
            <w:bookmarkEnd w:id="0"/>
          </w:p>
        </w:tc>
        <w:tc>
          <w:tcPr>
            <w:tcW w:w="2023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378" w:type="dxa"/>
            <w:gridSpan w:val="9"/>
            <w:tcBorders>
              <w:bottom w:val="single" w:sz="4" w:space="0" w:color="auto"/>
            </w:tcBorders>
          </w:tcPr>
          <w:p w14:paraId="63BEA31E" w14:textId="6D49C63E" w:rsidR="00977E0D" w:rsidRDefault="00BD278A" w:rsidP="00BD278A">
            <w:pPr>
              <w:spacing w:beforeLines="50" w:before="120"/>
            </w:pPr>
            <w:r>
              <w:t>80700012</w:t>
            </w:r>
            <w:r w:rsidR="008738AB">
              <w:t>35</w:t>
            </w:r>
          </w:p>
        </w:tc>
      </w:tr>
      <w:tr w:rsidR="00977E0D" w14:paraId="77371E44" w14:textId="77777777" w:rsidTr="009F3C00">
        <w:trPr>
          <w:gridAfter w:val="1"/>
          <w:wAfter w:w="79" w:type="dxa"/>
          <w:trHeight w:val="166"/>
        </w:trPr>
        <w:tc>
          <w:tcPr>
            <w:tcW w:w="1699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26AC2FED" w:rsidR="00977E0D" w:rsidRDefault="008738AB" w:rsidP="0033118F">
            <w:pPr>
              <w:spacing w:beforeLines="100" w:before="240"/>
            </w:pPr>
            <w:r>
              <w:t>8070001235</w:t>
            </w:r>
          </w:p>
        </w:tc>
        <w:tc>
          <w:tcPr>
            <w:tcW w:w="2167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166FC223" w:rsidR="00977E0D" w:rsidRDefault="008F5D52" w:rsidP="0033118F">
            <w:pPr>
              <w:spacing w:beforeLines="100" w:before="240"/>
            </w:pPr>
            <w:r>
              <w:t>4</w:t>
            </w:r>
          </w:p>
        </w:tc>
      </w:tr>
      <w:tr w:rsidR="0033118F" w14:paraId="456B5849" w14:textId="77777777" w:rsidTr="009F3C00">
        <w:trPr>
          <w:gridAfter w:val="1"/>
          <w:wAfter w:w="80" w:type="dxa"/>
          <w:trHeight w:val="77"/>
        </w:trPr>
        <w:tc>
          <w:tcPr>
            <w:tcW w:w="5034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46" w:type="dxa"/>
            <w:gridSpan w:val="3"/>
            <w:vAlign w:val="bottom"/>
          </w:tcPr>
          <w:p w14:paraId="119E6EA7" w14:textId="0E72D664"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7414FB">
              <w:fldChar w:fldCharType="separate"/>
            </w:r>
            <w:r>
              <w:fldChar w:fldCharType="end"/>
            </w:r>
            <w:bookmarkEnd w:id="1"/>
            <w:r w:rsidR="0033118F">
              <w:t xml:space="preserve"> No </w:t>
            </w:r>
          </w:p>
        </w:tc>
        <w:tc>
          <w:tcPr>
            <w:tcW w:w="1089" w:type="dxa"/>
            <w:gridSpan w:val="3"/>
            <w:vAlign w:val="bottom"/>
          </w:tcPr>
          <w:p w14:paraId="0607C68D" w14:textId="77777777"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7414FB">
              <w:fldChar w:fldCharType="separate"/>
            </w:r>
            <w:r>
              <w:fldChar w:fldCharType="end"/>
            </w:r>
            <w:bookmarkEnd w:id="2"/>
            <w:r>
              <w:t xml:space="preserve"> Yes, to: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77777777" w:rsidR="0033118F" w:rsidRDefault="0033118F" w:rsidP="00680721">
            <w:pPr>
              <w:spacing w:beforeLines="100" w:before="240"/>
            </w:pPr>
          </w:p>
        </w:tc>
        <w:bookmarkStart w:id="3" w:name="Text17"/>
        <w:tc>
          <w:tcPr>
            <w:tcW w:w="564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"/>
          </w:p>
        </w:tc>
        <w:tc>
          <w:tcPr>
            <w:tcW w:w="559" w:type="dxa"/>
            <w:tcBorders>
              <w:top w:val="single" w:sz="4" w:space="0" w:color="auto"/>
            </w:tcBorders>
            <w:vAlign w:val="bottom"/>
          </w:tcPr>
          <w:p w14:paraId="3A9140F3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9F3C00">
        <w:trPr>
          <w:gridAfter w:val="3"/>
          <w:wAfter w:w="252" w:type="dxa"/>
          <w:trHeight w:val="251"/>
        </w:trPr>
        <w:tc>
          <w:tcPr>
            <w:tcW w:w="10083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FD90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E0CFBA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9F3C00">
        <w:trPr>
          <w:gridAfter w:val="2"/>
          <w:wAfter w:w="88" w:type="dxa"/>
          <w:trHeight w:val="77"/>
        </w:trPr>
        <w:tc>
          <w:tcPr>
            <w:tcW w:w="10247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9F3C00">
        <w:trPr>
          <w:gridAfter w:val="6"/>
          <w:wAfter w:w="1205" w:type="dxa"/>
          <w:trHeight w:val="97"/>
        </w:trPr>
        <w:tc>
          <w:tcPr>
            <w:tcW w:w="87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519C05C3" w:rsidR="002C60CD" w:rsidRDefault="00EA657E" w:rsidP="00071DEE">
            <w:r>
              <w:t>Sheila Killingsworth</w:t>
            </w:r>
          </w:p>
        </w:tc>
        <w:tc>
          <w:tcPr>
            <w:tcW w:w="535" w:type="dxa"/>
            <w:vAlign w:val="bottom"/>
          </w:tcPr>
          <w:p w14:paraId="323E480D" w14:textId="77777777" w:rsidR="002C60CD" w:rsidRDefault="002C60CD" w:rsidP="00071DEE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14:paraId="1A5EDF49" w14:textId="77777777" w:rsidR="002C60CD" w:rsidRDefault="002C60CD" w:rsidP="00071DEE">
            <w:pPr>
              <w:ind w:left="78" w:hanging="78"/>
            </w:pPr>
          </w:p>
        </w:tc>
        <w:tc>
          <w:tcPr>
            <w:tcW w:w="553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887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2363BDAF" w:rsidR="002C60CD" w:rsidRDefault="00BD278A" w:rsidP="00071DEE">
            <w:r>
              <w:t>procurement@okhca.org</w:t>
            </w:r>
          </w:p>
        </w:tc>
      </w:tr>
      <w:tr w:rsidR="002C60CD" w14:paraId="7B8FDC5B" w14:textId="77777777" w:rsidTr="009F3C00">
        <w:trPr>
          <w:gridAfter w:val="9"/>
          <w:wAfter w:w="2171" w:type="dxa"/>
          <w:trHeight w:val="35"/>
        </w:trPr>
        <w:tc>
          <w:tcPr>
            <w:tcW w:w="87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35" w:type="dxa"/>
          </w:tcPr>
          <w:p w14:paraId="2998BE72" w14:textId="77777777" w:rsidR="002C60CD" w:rsidRDefault="002C60CD" w:rsidP="00430AF6"/>
        </w:tc>
        <w:tc>
          <w:tcPr>
            <w:tcW w:w="1851" w:type="dxa"/>
            <w:gridSpan w:val="3"/>
          </w:tcPr>
          <w:p w14:paraId="63CED721" w14:textId="5AC3C4DA" w:rsidR="002C60CD" w:rsidRDefault="002C60CD" w:rsidP="00430AF6"/>
        </w:tc>
        <w:tc>
          <w:tcPr>
            <w:tcW w:w="1202" w:type="dxa"/>
            <w:gridSpan w:val="4"/>
          </w:tcPr>
          <w:p w14:paraId="11200447" w14:textId="77777777" w:rsidR="002C60CD" w:rsidRDefault="002C60CD" w:rsidP="00430AF6"/>
        </w:tc>
        <w:tc>
          <w:tcPr>
            <w:tcW w:w="1832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9F3C00">
        <w:trPr>
          <w:gridAfter w:val="2"/>
          <w:wAfter w:w="89" w:type="dxa"/>
          <w:trHeight w:val="26"/>
        </w:trPr>
        <w:tc>
          <w:tcPr>
            <w:tcW w:w="87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502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9F3C00">
        <w:trPr>
          <w:gridAfter w:val="7"/>
          <w:wAfter w:w="1495" w:type="dxa"/>
          <w:trHeight w:val="22"/>
        </w:trPr>
        <w:tc>
          <w:tcPr>
            <w:tcW w:w="87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05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448" w:type="dxa"/>
            <w:gridSpan w:val="15"/>
          </w:tcPr>
          <w:p w14:paraId="122152C4" w14:textId="72731289"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14:paraId="3D428AB6" w14:textId="77777777" w:rsidTr="009F3C00">
        <w:trPr>
          <w:gridAfter w:val="2"/>
          <w:wAfter w:w="89" w:type="dxa"/>
          <w:trHeight w:val="117"/>
        </w:trPr>
        <w:tc>
          <w:tcPr>
            <w:tcW w:w="87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502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9F3C00">
        <w:trPr>
          <w:gridAfter w:val="2"/>
          <w:wAfter w:w="88" w:type="dxa"/>
          <w:trHeight w:val="136"/>
        </w:trPr>
        <w:tc>
          <w:tcPr>
            <w:tcW w:w="10247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3C00">
        <w:trPr>
          <w:gridBefore w:val="1"/>
          <w:wBefore w:w="87" w:type="dxa"/>
          <w:trHeight w:val="126"/>
        </w:trPr>
        <w:tc>
          <w:tcPr>
            <w:tcW w:w="102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9F3C00">
        <w:trPr>
          <w:gridBefore w:val="1"/>
          <w:gridAfter w:val="3"/>
          <w:wBefore w:w="87" w:type="dxa"/>
          <w:wAfter w:w="253" w:type="dxa"/>
          <w:trHeight w:val="179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438" w14:textId="4A947FCC" w:rsidR="00EA657E" w:rsidRPr="00312F1B" w:rsidRDefault="00EA657E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Changes to </w:t>
            </w:r>
            <w:r w:rsidR="00BD278A" w:rsidRPr="00312F1B">
              <w:rPr>
                <w:rFonts w:ascii="Times New Roman" w:hAnsi="Times New Roman" w:cs="Times New Roman"/>
                <w:sz w:val="24"/>
                <w:szCs w:val="24"/>
              </w:rPr>
              <w:t>Solicitation</w:t>
            </w:r>
            <w:r w:rsidR="008738AB"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 8070001235</w:t>
            </w:r>
            <w:r w:rsidR="00F3783F"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3E8" w:rsidRPr="00312F1B">
              <w:rPr>
                <w:rFonts w:ascii="Times New Roman" w:hAnsi="Times New Roman" w:cs="Times New Roman"/>
                <w:sz w:val="24"/>
                <w:szCs w:val="24"/>
              </w:rPr>
              <w:t>includes updates to the RFP document, model contract and forms</w:t>
            </w:r>
            <w:r w:rsidR="00A2625B" w:rsidRPr="00312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94466" w14:textId="77777777" w:rsidR="007414FB" w:rsidRDefault="007414FB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96F26" w14:textId="3361B327" w:rsidR="007414FB" w:rsidRDefault="007414FB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SoonerSelect Dental RFP – 8070001235 (Updated 11/06/2020) updates:</w:t>
            </w:r>
          </w:p>
          <w:p w14:paraId="349085B9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(Page 12: Correction from Amendment Two.</w:t>
            </w:r>
            <w:r w:rsidRPr="00312F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Form 8070001235C-Proposal Cover Page</w:t>
            </w: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66CC4C" w14:textId="09095311" w:rsidR="001E53E8" w:rsidRPr="00312F1B" w:rsidRDefault="001E53E8" w:rsidP="001E53E8">
            <w:pPr>
              <w:widowControl w:val="0"/>
              <w:tabs>
                <w:tab w:val="left" w:pos="941"/>
              </w:tabs>
              <w:spacing w:line="254" w:lineRule="auto"/>
              <w:ind w:right="1014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(Page 12: Correction from Amendment Two. 2.1.4 Property of the State is updated distinguishing 2.1.5 Withdrawal from Solicitation.)</w:t>
            </w:r>
          </w:p>
          <w:p w14:paraId="2DB83B07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13, 2.3.2: Corrected typo.</w:t>
            </w:r>
          </w:p>
          <w:p w14:paraId="0FBD56F5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14, 2.5.1: Deleted reference to hard copy submission.</w:t>
            </w:r>
          </w:p>
          <w:p w14:paraId="6DBDBF8E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17, Item 4: Replaced reference to hard copy with electronic copy.</w:t>
            </w:r>
          </w:p>
          <w:p w14:paraId="236AA086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17, Item 5: Resolved duplicative and inconsistent requirements.</w:t>
            </w:r>
          </w:p>
          <w:p w14:paraId="4C9D0AEC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17, Item 5: Added clarifying language on actuarially sound rates.</w:t>
            </w:r>
          </w:p>
          <w:p w14:paraId="3FB8DC32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Page 19, Item 9: Made conforming changes with modifications ‘References’. </w:t>
            </w:r>
          </w:p>
          <w:p w14:paraId="31E4498D" w14:textId="3DF509D4" w:rsidR="001E53E8" w:rsidRPr="00312F1B" w:rsidRDefault="007414FB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 20, Item 10: M</w:t>
            </w:r>
            <w:r w:rsidR="001E53E8" w:rsidRPr="00312F1B">
              <w:rPr>
                <w:rFonts w:ascii="Times New Roman" w:hAnsi="Times New Roman" w:cs="Times New Roman"/>
                <w:sz w:val="24"/>
                <w:szCs w:val="24"/>
              </w:rPr>
              <w:t>ade conforming changes with modifications to ‘Responses’.</w:t>
            </w:r>
          </w:p>
          <w:p w14:paraId="1DE66278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20, Instructions. Clarified that the disclosure of subcontractor litigation applies only to Major health care service Subcontractors.</w:t>
            </w:r>
          </w:p>
          <w:p w14:paraId="2A5C4A92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21, Item 11. Added additional clarification to Item 11.</w:t>
            </w:r>
          </w:p>
          <w:p w14:paraId="362A7BD2" w14:textId="77EA1639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Page 26, Item 28: Eliminated requirement for actuarial attestation of the value of Value-Added Benefits. </w:t>
            </w:r>
          </w:p>
          <w:p w14:paraId="16DCFD03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50, 2.7.2.1: Added oral presentation evaluation step.</w:t>
            </w:r>
          </w:p>
          <w:p w14:paraId="36E307C6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70, 1.1.18.7: Deleted state review requirement for reinsurance.</w:t>
            </w:r>
          </w:p>
          <w:p w14:paraId="3EAE0CCC" w14:textId="1F9FCC2E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7</w:t>
            </w:r>
            <w:r w:rsidR="004B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, 1.3.2: Updated accreditation date requirement.</w:t>
            </w:r>
          </w:p>
          <w:p w14:paraId="362DCE18" w14:textId="5C8A7EF6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7</w:t>
            </w:r>
            <w:r w:rsidR="004B6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, 1.3.3: Added “annually” to clarify value threshold for major administrative subcontractor definition.</w:t>
            </w:r>
          </w:p>
          <w:p w14:paraId="16483C59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Page 146, 1.11.3.1: Added a 15-day extension request for processing provider credentialing.</w:t>
            </w:r>
          </w:p>
          <w:p w14:paraId="6C3FDCB3" w14:textId="2BFB9DB3" w:rsidR="001E53E8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Page 166, 1.14.4.3: Payments to IHCPs. Language is </w:t>
            </w:r>
            <w:r w:rsidR="007414FB">
              <w:rPr>
                <w:rFonts w:ascii="Times New Roman" w:hAnsi="Times New Roman" w:cs="Times New Roman"/>
                <w:sz w:val="24"/>
                <w:szCs w:val="24"/>
              </w:rPr>
              <w:t xml:space="preserve">changed. </w:t>
            </w:r>
          </w:p>
          <w:p w14:paraId="27198431" w14:textId="77777777" w:rsidR="007414FB" w:rsidRDefault="007414FB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00DA" w14:textId="70BA75BF" w:rsidR="007414FB" w:rsidRPr="00312F1B" w:rsidRDefault="007414FB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Forms updates:</w:t>
            </w:r>
          </w:p>
          <w:p w14:paraId="268C4D7E" w14:textId="1958553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Form B: Deleted submission of staff training curriculum; added required diagrams to Item 78 Information Technology. </w:t>
            </w:r>
          </w:p>
          <w:p w14:paraId="77325F6B" w14:textId="77777777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Form G: Clarified reference requirements.</w:t>
            </w:r>
          </w:p>
          <w:p w14:paraId="5CE53C1F" w14:textId="645CB3BE" w:rsidR="001E53E8" w:rsidRPr="00312F1B" w:rsidRDefault="001E53E8" w:rsidP="001E53E8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Form L: Eliminated actuarial attestation requirement. </w:t>
            </w:r>
          </w:p>
          <w:p w14:paraId="6140463B" w14:textId="1C3F0460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Form P, Security Specifications Tab, Line 41: Updated to spell out acronym.</w:t>
            </w:r>
          </w:p>
          <w:p w14:paraId="79D31E85" w14:textId="6EDDA933" w:rsidR="001E53E8" w:rsidRPr="00312F1B" w:rsidRDefault="001E53E8" w:rsidP="001E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Form R, CONTRACTS PERFORMANCE HISTORY: Updated with instructions</w:t>
            </w:r>
            <w:r w:rsidR="00741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315D0" w14:textId="77777777" w:rsidR="00926954" w:rsidRPr="00312F1B" w:rsidRDefault="00926954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10C12" w14:textId="5CE37546" w:rsidR="001E53E8" w:rsidRPr="00312F1B" w:rsidRDefault="001E53E8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Documents: </w:t>
            </w:r>
          </w:p>
          <w:p w14:paraId="1D16E6A8" w14:textId="2CC028E1" w:rsidR="001E53E8" w:rsidRPr="00312F1B" w:rsidRDefault="001E53E8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SoonerSelect Dental RFP – 8070001235 is replaced with:</w:t>
            </w:r>
          </w:p>
          <w:p w14:paraId="62ED06EB" w14:textId="752B3A33" w:rsidR="001E53E8" w:rsidRPr="00312F1B" w:rsidRDefault="001E53E8" w:rsidP="00E31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b/>
                <w:sz w:val="24"/>
                <w:szCs w:val="24"/>
              </w:rPr>
              <w:t>SoonerSelect Dental</w:t>
            </w:r>
            <w:r w:rsidR="004B6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RFP – 8070001235 (Updated 11/06</w:t>
            </w:r>
            <w:r w:rsidRPr="00312F1B">
              <w:rPr>
                <w:rFonts w:ascii="Times New Roman" w:hAnsi="Times New Roman" w:cs="Times New Roman"/>
                <w:b/>
                <w:sz w:val="24"/>
                <w:szCs w:val="24"/>
              </w:rPr>
              <w:t>/2020)</w:t>
            </w:r>
          </w:p>
          <w:p w14:paraId="2CCE70DD" w14:textId="026C5B46" w:rsidR="00926954" w:rsidRPr="00312F1B" w:rsidRDefault="00926954" w:rsidP="0092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r w:rsidR="001E53E8" w:rsidRPr="00312F1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3E8" w:rsidRPr="00312F1B">
              <w:rPr>
                <w:rFonts w:ascii="Times New Roman" w:hAnsi="Times New Roman" w:cs="Times New Roman"/>
                <w:sz w:val="24"/>
                <w:szCs w:val="24"/>
              </w:rPr>
              <w:t>Word Document</w:t>
            </w: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 is replaced with:</w:t>
            </w:r>
          </w:p>
          <w:p w14:paraId="55A2B054" w14:textId="73BB192A" w:rsidR="001E53E8" w:rsidRPr="00312F1B" w:rsidRDefault="001E53E8" w:rsidP="009269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 B Bidder Proposal Sub</w:t>
            </w:r>
            <w:r w:rsidR="004B6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mission Checklist (Updated 11/06</w:t>
            </w:r>
            <w:r w:rsidRPr="00312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/2020)</w:t>
            </w:r>
          </w:p>
          <w:p w14:paraId="3A51786A" w14:textId="3635A53E" w:rsidR="00926954" w:rsidRPr="00312F1B" w:rsidRDefault="00926954" w:rsidP="0092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r w:rsidR="001E53E8" w:rsidRPr="00312F1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 Word Document is replaced with:</w:t>
            </w:r>
          </w:p>
          <w:p w14:paraId="1E08C0B2" w14:textId="27402DAB" w:rsidR="001E53E8" w:rsidRPr="00312F1B" w:rsidRDefault="004B65EB" w:rsidP="00926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 G References (Updated 11/06</w:t>
            </w:r>
            <w:r w:rsidR="001E53E8" w:rsidRPr="00312F1B">
              <w:rPr>
                <w:rFonts w:ascii="Times New Roman" w:hAnsi="Times New Roman" w:cs="Times New Roman"/>
                <w:b/>
                <w:sz w:val="24"/>
                <w:szCs w:val="24"/>
              </w:rPr>
              <w:t>/2020)</w:t>
            </w:r>
          </w:p>
          <w:p w14:paraId="348326BC" w14:textId="34D067F0" w:rsidR="00926954" w:rsidRPr="00312F1B" w:rsidRDefault="00926954" w:rsidP="0092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r w:rsidR="00312F1B" w:rsidRPr="00312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 Word Document </w:t>
            </w:r>
            <w:r w:rsidR="00312F1B" w:rsidRPr="00312F1B">
              <w:rPr>
                <w:rFonts w:ascii="Times New Roman" w:hAnsi="Times New Roman" w:cs="Times New Roman"/>
                <w:sz w:val="24"/>
                <w:szCs w:val="24"/>
              </w:rPr>
              <w:t>is replaced with:</w:t>
            </w:r>
          </w:p>
          <w:p w14:paraId="3A304458" w14:textId="7006449B" w:rsidR="00312F1B" w:rsidRPr="00312F1B" w:rsidRDefault="00312F1B" w:rsidP="00926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b/>
                <w:sz w:val="24"/>
                <w:szCs w:val="24"/>
              </w:rPr>
              <w:t>Form L Val</w:t>
            </w:r>
            <w:r w:rsidR="004B65EB">
              <w:rPr>
                <w:rFonts w:ascii="Times New Roman" w:hAnsi="Times New Roman" w:cs="Times New Roman"/>
                <w:b/>
                <w:sz w:val="24"/>
                <w:szCs w:val="24"/>
              </w:rPr>
              <w:t>ue Added Benefits (Updated 11/06</w:t>
            </w:r>
            <w:r w:rsidRPr="00312F1B">
              <w:rPr>
                <w:rFonts w:ascii="Times New Roman" w:hAnsi="Times New Roman" w:cs="Times New Roman"/>
                <w:b/>
                <w:sz w:val="24"/>
                <w:szCs w:val="24"/>
              </w:rPr>
              <w:t>/2020)</w:t>
            </w:r>
          </w:p>
          <w:p w14:paraId="28EEA0C4" w14:textId="47BAD394" w:rsidR="00926954" w:rsidRPr="00312F1B" w:rsidRDefault="001E53E8" w:rsidP="00926954">
            <w:pPr>
              <w:tabs>
                <w:tab w:val="left" w:pos="41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r w:rsidR="00312F1B" w:rsidRPr="00312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F1B" w:rsidRPr="00312F1B">
              <w:rPr>
                <w:rFonts w:ascii="Times New Roman" w:hAnsi="Times New Roman" w:cs="Times New Roman"/>
                <w:sz w:val="24"/>
                <w:szCs w:val="24"/>
              </w:rPr>
              <w:t>Excel Spreadsheet</w:t>
            </w: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 is replaced</w:t>
            </w:r>
            <w:r w:rsidR="00926954" w:rsidRPr="00312F1B">
              <w:rPr>
                <w:rFonts w:ascii="Times New Roman" w:hAnsi="Times New Roman" w:cs="Times New Roman"/>
                <w:sz w:val="24"/>
                <w:szCs w:val="24"/>
              </w:rPr>
              <w:t xml:space="preserve"> with: </w:t>
            </w:r>
            <w:r w:rsidR="00926954" w:rsidRPr="00312F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1DDD98A" w14:textId="3C441653" w:rsidR="002C14BF" w:rsidRPr="00312F1B" w:rsidRDefault="00312F1B" w:rsidP="00312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b/>
                <w:sz w:val="24"/>
                <w:szCs w:val="24"/>
              </w:rPr>
              <w:t>Form P MCO Security Specifications (Updated 11/</w:t>
            </w:r>
            <w:r w:rsidR="004B65EB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7414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12F1B">
              <w:rPr>
                <w:rFonts w:ascii="Times New Roman" w:hAnsi="Times New Roman" w:cs="Times New Roman"/>
                <w:b/>
                <w:sz w:val="24"/>
                <w:szCs w:val="24"/>
              </w:rPr>
              <w:t>2020)</w:t>
            </w:r>
          </w:p>
          <w:p w14:paraId="587762FF" w14:textId="77777777" w:rsidR="00312F1B" w:rsidRPr="00312F1B" w:rsidRDefault="00312F1B" w:rsidP="0031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sz w:val="24"/>
                <w:szCs w:val="24"/>
              </w:rPr>
              <w:t>Form R Excel Spreadsheet is replaced with:</w:t>
            </w:r>
          </w:p>
          <w:p w14:paraId="771DBACF" w14:textId="2F3087CA" w:rsidR="00312F1B" w:rsidRPr="00312F1B" w:rsidRDefault="00312F1B" w:rsidP="00312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1B">
              <w:rPr>
                <w:rFonts w:ascii="Times New Roman" w:hAnsi="Times New Roman" w:cs="Times New Roman"/>
                <w:b/>
                <w:sz w:val="24"/>
                <w:szCs w:val="24"/>
              </w:rPr>
              <w:t>Form R Contractor Pe</w:t>
            </w:r>
            <w:r w:rsidR="004B65EB">
              <w:rPr>
                <w:rFonts w:ascii="Times New Roman" w:hAnsi="Times New Roman" w:cs="Times New Roman"/>
                <w:b/>
                <w:sz w:val="24"/>
                <w:szCs w:val="24"/>
              </w:rPr>
              <w:t>rformance History (Updated 11/06</w:t>
            </w:r>
            <w:r w:rsidRPr="00312F1B">
              <w:rPr>
                <w:rFonts w:ascii="Times New Roman" w:hAnsi="Times New Roman" w:cs="Times New Roman"/>
                <w:b/>
                <w:sz w:val="24"/>
                <w:szCs w:val="24"/>
              </w:rPr>
              <w:t>/2020)</w:t>
            </w:r>
          </w:p>
          <w:p w14:paraId="154F5B1E" w14:textId="0E0B4835" w:rsidR="00312F1B" w:rsidRPr="001E53E8" w:rsidRDefault="00312F1B" w:rsidP="00312F1B"/>
        </w:tc>
      </w:tr>
      <w:tr w:rsidR="00AB05F9" w14:paraId="30A5AFEC" w14:textId="77777777" w:rsidTr="009F3C00">
        <w:trPr>
          <w:gridBefore w:val="1"/>
          <w:gridAfter w:val="3"/>
          <w:wBefore w:w="87" w:type="dxa"/>
          <w:wAfter w:w="253" w:type="dxa"/>
          <w:trHeight w:val="5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C91" w14:textId="6D8D8C07" w:rsidR="00AB05F9" w:rsidRPr="002C14BF" w:rsidRDefault="00AB05F9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A6F17" w14:textId="6F2B18C7"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14:paraId="440E7654" w14:textId="77777777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49D2C" w14:textId="77777777"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14:paraId="01C1DFB2" w14:textId="77777777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EC775" w14:textId="77777777" w:rsidR="008C68ED" w:rsidRDefault="008C68ED">
      <w:r>
        <w:separator/>
      </w:r>
    </w:p>
  </w:endnote>
  <w:endnote w:type="continuationSeparator" w:id="0">
    <w:p w14:paraId="6C4B8CFC" w14:textId="77777777" w:rsidR="008C68ED" w:rsidRDefault="008C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CFB73" w14:textId="77777777" w:rsidR="008C68ED" w:rsidRDefault="008C68ED">
      <w:r>
        <w:separator/>
      </w:r>
    </w:p>
  </w:footnote>
  <w:footnote w:type="continuationSeparator" w:id="0">
    <w:p w14:paraId="0855C30E" w14:textId="77777777" w:rsidR="008C68ED" w:rsidRDefault="008C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7C44B4C"/>
    <w:multiLevelType w:val="hybridMultilevel"/>
    <w:tmpl w:val="50588F9E"/>
    <w:lvl w:ilvl="0" w:tplc="2A90436E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9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957"/>
    <w:rsid w:val="000272B1"/>
    <w:rsid w:val="00071DEE"/>
    <w:rsid w:val="000743C1"/>
    <w:rsid w:val="000B2710"/>
    <w:rsid w:val="000C256A"/>
    <w:rsid w:val="000E685E"/>
    <w:rsid w:val="000F6889"/>
    <w:rsid w:val="0011201C"/>
    <w:rsid w:val="001228D8"/>
    <w:rsid w:val="00140F6E"/>
    <w:rsid w:val="001459B3"/>
    <w:rsid w:val="00163545"/>
    <w:rsid w:val="001645DA"/>
    <w:rsid w:val="00175406"/>
    <w:rsid w:val="001B02BC"/>
    <w:rsid w:val="001C5DDD"/>
    <w:rsid w:val="001D502E"/>
    <w:rsid w:val="001E53E8"/>
    <w:rsid w:val="001F334B"/>
    <w:rsid w:val="001F7C52"/>
    <w:rsid w:val="0020346B"/>
    <w:rsid w:val="00226613"/>
    <w:rsid w:val="00227251"/>
    <w:rsid w:val="00235ADA"/>
    <w:rsid w:val="002366F7"/>
    <w:rsid w:val="002506AE"/>
    <w:rsid w:val="00271B85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12F1B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B65EB"/>
    <w:rsid w:val="004C658A"/>
    <w:rsid w:val="004D12F1"/>
    <w:rsid w:val="004E1E1B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14FB"/>
    <w:rsid w:val="00744B5C"/>
    <w:rsid w:val="00775D7C"/>
    <w:rsid w:val="007B1BEC"/>
    <w:rsid w:val="007C0AF0"/>
    <w:rsid w:val="007C0E6C"/>
    <w:rsid w:val="007D27C1"/>
    <w:rsid w:val="007E4290"/>
    <w:rsid w:val="007F4C58"/>
    <w:rsid w:val="0081415E"/>
    <w:rsid w:val="00831F58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5D52"/>
    <w:rsid w:val="008F7F4F"/>
    <w:rsid w:val="00926954"/>
    <w:rsid w:val="009275E1"/>
    <w:rsid w:val="00940B17"/>
    <w:rsid w:val="00956F12"/>
    <w:rsid w:val="009570DE"/>
    <w:rsid w:val="0096115B"/>
    <w:rsid w:val="009634AA"/>
    <w:rsid w:val="00965DBA"/>
    <w:rsid w:val="00970865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3C00"/>
    <w:rsid w:val="009F4D7C"/>
    <w:rsid w:val="00A131B7"/>
    <w:rsid w:val="00A2625B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05F9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31827"/>
    <w:rsid w:val="00E35628"/>
    <w:rsid w:val="00E36D5D"/>
    <w:rsid w:val="00E37656"/>
    <w:rsid w:val="00E52FD1"/>
    <w:rsid w:val="00E6310C"/>
    <w:rsid w:val="00E64370"/>
    <w:rsid w:val="00E71818"/>
    <w:rsid w:val="00E72F7F"/>
    <w:rsid w:val="00E77510"/>
    <w:rsid w:val="00E82A8E"/>
    <w:rsid w:val="00E928CD"/>
    <w:rsid w:val="00EA657E"/>
    <w:rsid w:val="00EB320E"/>
    <w:rsid w:val="00ED736E"/>
    <w:rsid w:val="00F00BE9"/>
    <w:rsid w:val="00F051B9"/>
    <w:rsid w:val="00F06E46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uiPriority w:val="1"/>
    <w:qFormat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20D9-2AA3-44EA-A334-5AD5AAA0CB65}">
  <ds:schemaRefs>
    <ds:schemaRef ds:uri="http://www.w3.org/XML/1998/namespace"/>
    <ds:schemaRef ds:uri="http://schemas.microsoft.com/office/infopath/2007/PartnerControls"/>
    <ds:schemaRef ds:uri="2616b61c-01e3-420e-954d-f9606dbef896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aec6b55d-3de3-4884-82c9-9045bd390d40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14C7E-DD50-427E-98FD-F2795625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546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Sheila Killingsworth</cp:lastModifiedBy>
  <cp:revision>16</cp:revision>
  <cp:lastPrinted>2008-12-08T14:07:00Z</cp:lastPrinted>
  <dcterms:created xsi:type="dcterms:W3CDTF">2020-10-16T14:34:00Z</dcterms:created>
  <dcterms:modified xsi:type="dcterms:W3CDTF">2020-11-12T15:02:00Z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