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6DF60FC4" w:rsidR="00977E0D" w:rsidRDefault="00140F6E" w:rsidP="001C5DDD">
            <w:pPr>
              <w:spacing w:beforeLines="50" w:before="120"/>
            </w:pPr>
            <w:r>
              <w:t>11/02</w:t>
            </w:r>
            <w:bookmarkStart w:id="0" w:name="_GoBack"/>
            <w:bookmarkEnd w:id="0"/>
            <w:r w:rsidR="00BD278A">
              <w:t>/2020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6D49C63E" w:rsidR="00977E0D" w:rsidRDefault="00BD278A" w:rsidP="00BD278A">
            <w:pPr>
              <w:spacing w:beforeLines="50" w:before="120"/>
            </w:pPr>
            <w:r>
              <w:t>80700012</w:t>
            </w:r>
            <w:r w:rsidR="008738AB">
              <w:t>35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26AC2FED" w:rsidR="00977E0D" w:rsidRDefault="008738AB" w:rsidP="0033118F">
            <w:pPr>
              <w:spacing w:beforeLines="100" w:before="240"/>
            </w:pPr>
            <w:r>
              <w:t>8070001235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60EBB15A" w:rsidR="00977E0D" w:rsidRDefault="00EA657E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E72D664"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40F6E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140F6E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9C05C3" w:rsidR="002C60CD" w:rsidRDefault="00EA657E" w:rsidP="00071DEE">
            <w:r>
              <w:t>Sheila Killingsworth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2363BDAF" w:rsidR="002C60CD" w:rsidRDefault="00BD278A" w:rsidP="00071DEE">
            <w:r>
              <w:t>procurement@okhca.org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5AC3C4DA" w:rsidR="002C60CD" w:rsidRDefault="002C60CD" w:rsidP="00430AF6"/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AB05F9">
        <w:trPr>
          <w:gridBefore w:val="1"/>
          <w:gridAfter w:val="3"/>
          <w:wBefore w:w="90" w:type="dxa"/>
          <w:wAfter w:w="246" w:type="dxa"/>
          <w:trHeight w:val="494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088" w14:textId="77777777" w:rsidR="001C5DDD" w:rsidRDefault="001C5DDD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B183" w14:textId="253483F2" w:rsidR="00E31827" w:rsidRDefault="00EA657E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BF">
              <w:rPr>
                <w:rFonts w:ascii="Times New Roman" w:hAnsi="Times New Roman" w:cs="Times New Roman"/>
                <w:sz w:val="24"/>
                <w:szCs w:val="24"/>
              </w:rPr>
              <w:t xml:space="preserve">Changes to </w:t>
            </w:r>
            <w:r w:rsidR="00BD278A" w:rsidRPr="002C14BF">
              <w:rPr>
                <w:rFonts w:ascii="Times New Roman" w:hAnsi="Times New Roman" w:cs="Times New Roman"/>
                <w:sz w:val="24"/>
                <w:szCs w:val="24"/>
              </w:rPr>
              <w:t>Solicitation</w:t>
            </w:r>
            <w:r w:rsidR="008738AB" w:rsidRPr="002C14BF">
              <w:rPr>
                <w:rFonts w:ascii="Times New Roman" w:hAnsi="Times New Roman" w:cs="Times New Roman"/>
                <w:sz w:val="24"/>
                <w:szCs w:val="24"/>
              </w:rPr>
              <w:t xml:space="preserve"> 8070001235</w:t>
            </w:r>
            <w:r w:rsidR="00F3783F" w:rsidRPr="002C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4BF">
              <w:rPr>
                <w:rFonts w:ascii="Times New Roman" w:hAnsi="Times New Roman" w:cs="Times New Roman"/>
                <w:sz w:val="24"/>
                <w:szCs w:val="24"/>
              </w:rPr>
              <w:t xml:space="preserve">are implemented </w:t>
            </w:r>
            <w:r w:rsidRPr="002C14BF">
              <w:rPr>
                <w:rFonts w:ascii="Times New Roman" w:hAnsi="Times New Roman" w:cs="Times New Roman"/>
                <w:sz w:val="24"/>
                <w:szCs w:val="24"/>
              </w:rPr>
              <w:t>as follows</w:t>
            </w:r>
            <w:r w:rsidR="00F3783F" w:rsidRPr="002C1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BBC438" w14:textId="77777777" w:rsidR="00EA657E" w:rsidRDefault="00EA657E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D1CEF" w14:textId="77777777" w:rsidR="001C5DDD" w:rsidRPr="002C14BF" w:rsidRDefault="001C5DDD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24B5" w14:textId="77777777" w:rsidR="00F558C8" w:rsidRPr="002C14BF" w:rsidRDefault="00EA657E" w:rsidP="00EA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BF">
              <w:rPr>
                <w:rFonts w:ascii="Times New Roman" w:hAnsi="Times New Roman" w:cs="Times New Roman"/>
                <w:sz w:val="24"/>
                <w:szCs w:val="24"/>
              </w:rPr>
              <w:t>Page 10: 2.1.1 Submission of Bid Form number is changed.</w:t>
            </w:r>
          </w:p>
          <w:p w14:paraId="53FE0060" w14:textId="110C5E29" w:rsidR="00EA657E" w:rsidRPr="002C14BF" w:rsidRDefault="00EA657E" w:rsidP="00EA657E">
            <w:pPr>
              <w:pStyle w:val="BodyText"/>
              <w:spacing w:before="20" w:line="254" w:lineRule="auto"/>
              <w:ind w:right="1013"/>
              <w:rPr>
                <w:rFonts w:ascii="Times New Roman" w:hAnsi="Times New Roman" w:cs="Times New Roman"/>
              </w:rPr>
            </w:pPr>
            <w:r w:rsidRPr="002C14BF">
              <w:rPr>
                <w:rFonts w:ascii="Times New Roman" w:hAnsi="Times New Roman" w:cs="Times New Roman"/>
              </w:rPr>
              <w:t>Submitted</w:t>
            </w:r>
            <w:r w:rsidRPr="002C14B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bids</w:t>
            </w:r>
            <w:r w:rsidRPr="002C14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shall</w:t>
            </w:r>
            <w:r w:rsidRPr="002C14B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be</w:t>
            </w:r>
            <w:r w:rsidRPr="002C14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in</w:t>
            </w:r>
            <w:r w:rsidRPr="002C14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strict</w:t>
            </w:r>
            <w:r w:rsidRPr="002C14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conformity</w:t>
            </w:r>
            <w:r w:rsidRPr="002C14B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with</w:t>
            </w:r>
            <w:r w:rsidRPr="002C14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the</w:t>
            </w:r>
            <w:r w:rsidRPr="002C14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instructions</w:t>
            </w:r>
            <w:r w:rsidRPr="002C14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to</w:t>
            </w:r>
            <w:r w:rsidRPr="002C14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bidders</w:t>
            </w:r>
            <w:r w:rsidRPr="002C14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and</w:t>
            </w:r>
            <w:r w:rsidRPr="002C14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shall</w:t>
            </w:r>
            <w:r w:rsidRPr="002C14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be</w:t>
            </w:r>
            <w:r w:rsidRPr="002C14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submitted</w:t>
            </w:r>
            <w:r w:rsidRPr="002C14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with</w:t>
            </w:r>
            <w:r w:rsidRPr="002C14B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 xml:space="preserve">a completed Responding Bidder Information, </w:t>
            </w:r>
            <w:r w:rsidRPr="002C14BF">
              <w:rPr>
                <w:rFonts w:ascii="Times New Roman" w:hAnsi="Times New Roman" w:cs="Times New Roman"/>
                <w:u w:val="single"/>
              </w:rPr>
              <w:t>Form 8070001235C-Proposal Cover Page</w:t>
            </w:r>
            <w:r w:rsidRPr="002C14BF">
              <w:rPr>
                <w:rFonts w:ascii="Times New Roman" w:hAnsi="Times New Roman" w:cs="Times New Roman"/>
              </w:rPr>
              <w:t>, and any other forms required by the</w:t>
            </w:r>
            <w:r w:rsidRPr="002C14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14BF">
              <w:rPr>
                <w:rFonts w:ascii="Times New Roman" w:hAnsi="Times New Roman" w:cs="Times New Roman"/>
              </w:rPr>
              <w:t>solicitation.</w:t>
            </w:r>
          </w:p>
          <w:p w14:paraId="3730C133" w14:textId="77777777" w:rsidR="00940B17" w:rsidRDefault="00940B17" w:rsidP="002B13AC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BDA42" w14:textId="77777777" w:rsidR="001C5DDD" w:rsidRDefault="001C5DDD" w:rsidP="002B13AC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4FA1" w14:textId="77777777" w:rsidR="00AB05F9" w:rsidRPr="00AB05F9" w:rsidRDefault="00AB05F9" w:rsidP="002B13AC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9">
              <w:rPr>
                <w:rFonts w:ascii="Times New Roman" w:hAnsi="Times New Roman" w:cs="Times New Roman"/>
                <w:sz w:val="24"/>
                <w:szCs w:val="24"/>
              </w:rPr>
              <w:t>Page 12: 2.1.4 Property of the State and Withdrawal from Solicitation are updated as follows:</w:t>
            </w:r>
          </w:p>
          <w:p w14:paraId="4DAE023F" w14:textId="5F5AC1E1" w:rsidR="00AB05F9" w:rsidRPr="00AB05F9" w:rsidRDefault="00AB05F9" w:rsidP="00AB05F9">
            <w:pPr>
              <w:pStyle w:val="Heading2"/>
              <w:widowControl w:val="0"/>
              <w:tabs>
                <w:tab w:val="left" w:pos="941"/>
              </w:tabs>
              <w:overflowPunct/>
              <w:adjustRightInd/>
              <w:spacing w:before="93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  <w:r w:rsidRPr="00AB05F9">
              <w:rPr>
                <w:rFonts w:ascii="Times New Roman" w:hAnsi="Times New Roman"/>
                <w:color w:val="auto"/>
              </w:rPr>
              <w:t>2.1.4     Property of the</w:t>
            </w:r>
            <w:r w:rsidRPr="00AB05F9">
              <w:rPr>
                <w:rFonts w:ascii="Times New Roman" w:hAnsi="Times New Roman"/>
                <w:color w:val="auto"/>
                <w:spacing w:val="-3"/>
              </w:rPr>
              <w:t xml:space="preserve"> </w:t>
            </w:r>
            <w:r w:rsidRPr="00AB05F9">
              <w:rPr>
                <w:rFonts w:ascii="Times New Roman" w:hAnsi="Times New Roman"/>
                <w:color w:val="auto"/>
              </w:rPr>
              <w:t>State</w:t>
            </w:r>
          </w:p>
          <w:p w14:paraId="27990E8B" w14:textId="77777777" w:rsidR="00AB05F9" w:rsidRPr="00AB05F9" w:rsidRDefault="00AB05F9" w:rsidP="00AB05F9">
            <w:pPr>
              <w:pStyle w:val="BodyText"/>
              <w:spacing w:line="256" w:lineRule="auto"/>
              <w:ind w:right="1011"/>
              <w:rPr>
                <w:rFonts w:ascii="Times New Roman" w:hAnsi="Times New Roman" w:cs="Times New Roman"/>
              </w:rPr>
            </w:pPr>
            <w:r w:rsidRPr="00AB05F9">
              <w:rPr>
                <w:rFonts w:ascii="Times New Roman" w:hAnsi="Times New Roman" w:cs="Times New Roman"/>
              </w:rPr>
              <w:t>Unless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otherwise</w:t>
            </w:r>
            <w:r w:rsidRPr="00AB05F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specified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in</w:t>
            </w:r>
            <w:r w:rsidRPr="00AB05F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the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Oklahoma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Open</w:t>
            </w:r>
            <w:r w:rsidRPr="00AB05F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Records</w:t>
            </w:r>
            <w:r w:rsidRPr="00AB05F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Act,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Central</w:t>
            </w:r>
            <w:r w:rsidRPr="00AB05F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Purchasing</w:t>
            </w:r>
            <w:r w:rsidRPr="00AB05F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Act,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or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other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applicable law,</w:t>
            </w:r>
            <w:r w:rsidRPr="00AB05F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documents</w:t>
            </w:r>
            <w:r w:rsidRPr="00AB05F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and</w:t>
            </w:r>
            <w:r w:rsidRPr="00AB05F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information</w:t>
            </w:r>
            <w:r w:rsidRPr="00AB05F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</w:t>
            </w:r>
            <w:r w:rsidRPr="00AB05F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Bidder</w:t>
            </w:r>
            <w:r w:rsidRPr="00AB05F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submits</w:t>
            </w:r>
            <w:r w:rsidRPr="00AB05F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as</w:t>
            </w:r>
            <w:r w:rsidRPr="00AB05F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part</w:t>
            </w:r>
            <w:r w:rsidRPr="00AB05F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of</w:t>
            </w:r>
            <w:r w:rsidRPr="00AB05F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or</w:t>
            </w:r>
            <w:r w:rsidRPr="00AB05F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in</w:t>
            </w:r>
            <w:r w:rsidRPr="00AB05F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connection</w:t>
            </w:r>
            <w:r w:rsidRPr="00AB05F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with</w:t>
            </w:r>
            <w:r w:rsidRPr="00AB05F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</w:t>
            </w:r>
            <w:r w:rsidRPr="00AB05F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Bid</w:t>
            </w:r>
            <w:r w:rsidRPr="00AB05F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are</w:t>
            </w:r>
            <w:r w:rsidRPr="00AB05F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public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records and subject to disclosure. All material submitted by Bidders becomes the property of the State of Oklahoma and will be a matter of public record, subject to the procedures for treatment of proprietary information,</w:t>
            </w:r>
            <w:r w:rsidRPr="00AB05F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as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described</w:t>
            </w:r>
            <w:r w:rsidRPr="00AB05F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in</w:t>
            </w:r>
            <w:r w:rsidRPr="00AB05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Section</w:t>
            </w:r>
            <w:r w:rsidRPr="00AB05F9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w:anchor="_bookmark7" w:history="1">
              <w:r w:rsidRPr="00AB05F9">
                <w:rPr>
                  <w:rFonts w:ascii="Times New Roman" w:hAnsi="Times New Roman" w:cs="Times New Roman"/>
                </w:rPr>
                <w:t>2.4.2</w:t>
              </w:r>
            </w:hyperlink>
            <w:r w:rsidRPr="00AB05F9">
              <w:rPr>
                <w:rFonts w:ascii="Times New Roman" w:hAnsi="Times New Roman" w:cs="Times New Roman"/>
              </w:rPr>
              <w:t>: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“</w:t>
            </w:r>
            <w:hyperlink w:anchor="_bookmark7" w:history="1">
              <w:r w:rsidRPr="00AB05F9">
                <w:rPr>
                  <w:rFonts w:ascii="Times New Roman" w:hAnsi="Times New Roman" w:cs="Times New Roman"/>
                </w:rPr>
                <w:t>Proprietary</w:t>
              </w:r>
              <w:r w:rsidRPr="00AB05F9">
                <w:rPr>
                  <w:rFonts w:ascii="Times New Roman" w:hAnsi="Times New Roman" w:cs="Times New Roman"/>
                  <w:spacing w:val="-3"/>
                </w:rPr>
                <w:t xml:space="preserve"> </w:t>
              </w:r>
              <w:r w:rsidRPr="00AB05F9">
                <w:rPr>
                  <w:rFonts w:ascii="Times New Roman" w:hAnsi="Times New Roman" w:cs="Times New Roman"/>
                </w:rPr>
                <w:t>Information</w:t>
              </w:r>
            </w:hyperlink>
            <w:r w:rsidRPr="00AB05F9">
              <w:rPr>
                <w:rFonts w:ascii="Times New Roman" w:hAnsi="Times New Roman" w:cs="Times New Roman"/>
              </w:rPr>
              <w:t>.”</w:t>
            </w:r>
            <w:r w:rsidRPr="00AB05F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OHCA</w:t>
            </w:r>
            <w:r w:rsidRPr="00AB05F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shall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have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the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right</w:t>
            </w:r>
            <w:r w:rsidRPr="00AB05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to</w:t>
            </w:r>
            <w:r w:rsidRPr="00AB05F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use</w:t>
            </w:r>
            <w:r w:rsidRPr="00AB05F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all concepts described in Proposals, whether or not such Proposals are accepted.</w:t>
            </w:r>
          </w:p>
          <w:p w14:paraId="35CFB44D" w14:textId="77777777" w:rsidR="00AB05F9" w:rsidRDefault="00AB05F9" w:rsidP="00AB05F9">
            <w:pPr>
              <w:pStyle w:val="BodyText"/>
              <w:spacing w:line="256" w:lineRule="auto"/>
              <w:ind w:right="1011"/>
              <w:rPr>
                <w:rFonts w:ascii="Times New Roman" w:hAnsi="Times New Roman" w:cs="Times New Roman"/>
                <w:b/>
              </w:rPr>
            </w:pPr>
          </w:p>
          <w:p w14:paraId="6F4732F3" w14:textId="77777777" w:rsidR="001C5DDD" w:rsidRDefault="001C5DDD" w:rsidP="00AB05F9">
            <w:pPr>
              <w:pStyle w:val="BodyText"/>
              <w:spacing w:line="256" w:lineRule="auto"/>
              <w:ind w:right="1011"/>
              <w:rPr>
                <w:rFonts w:ascii="Times New Roman" w:hAnsi="Times New Roman" w:cs="Times New Roman"/>
                <w:b/>
              </w:rPr>
            </w:pPr>
          </w:p>
          <w:p w14:paraId="0A57D5C8" w14:textId="77777777" w:rsidR="001C5DDD" w:rsidRDefault="001C5DDD" w:rsidP="00AB05F9">
            <w:pPr>
              <w:pStyle w:val="BodyText"/>
              <w:spacing w:line="256" w:lineRule="auto"/>
              <w:ind w:right="1011"/>
              <w:rPr>
                <w:rFonts w:ascii="Times New Roman" w:hAnsi="Times New Roman" w:cs="Times New Roman"/>
                <w:b/>
              </w:rPr>
            </w:pPr>
          </w:p>
          <w:p w14:paraId="66B117D8" w14:textId="77777777" w:rsidR="001C5DDD" w:rsidRPr="00AB05F9" w:rsidRDefault="001C5DDD" w:rsidP="00AB05F9">
            <w:pPr>
              <w:pStyle w:val="BodyText"/>
              <w:spacing w:line="256" w:lineRule="auto"/>
              <w:ind w:right="1011"/>
              <w:rPr>
                <w:rFonts w:ascii="Times New Roman" w:hAnsi="Times New Roman" w:cs="Times New Roman"/>
                <w:b/>
              </w:rPr>
            </w:pPr>
          </w:p>
          <w:p w14:paraId="7C44C496" w14:textId="4A53B6AD" w:rsidR="00AB05F9" w:rsidRPr="00AB05F9" w:rsidRDefault="00AB05F9" w:rsidP="00AB05F9">
            <w:pPr>
              <w:pStyle w:val="BodyText"/>
              <w:widowControl w:val="0"/>
              <w:numPr>
                <w:ilvl w:val="2"/>
                <w:numId w:val="11"/>
              </w:numPr>
              <w:overflowPunct/>
              <w:adjustRightInd/>
              <w:spacing w:before="17" w:line="256" w:lineRule="auto"/>
              <w:ind w:right="1011"/>
              <w:textAlignment w:val="auto"/>
              <w:rPr>
                <w:rFonts w:ascii="Times New Roman" w:hAnsi="Times New Roman" w:cs="Times New Roman"/>
                <w:b/>
              </w:rPr>
            </w:pPr>
            <w:r w:rsidRPr="00AB05F9">
              <w:rPr>
                <w:rFonts w:ascii="Times New Roman" w:hAnsi="Times New Roman" w:cs="Times New Roman"/>
                <w:b/>
              </w:rPr>
              <w:t xml:space="preserve">  Withdrawal from Solicitation</w:t>
            </w:r>
          </w:p>
          <w:p w14:paraId="7536ADCB" w14:textId="77777777" w:rsidR="00AB05F9" w:rsidRPr="00AB05F9" w:rsidRDefault="00AB05F9" w:rsidP="00AB05F9">
            <w:pPr>
              <w:pStyle w:val="BodyText"/>
              <w:spacing w:line="256" w:lineRule="auto"/>
              <w:ind w:right="1013"/>
              <w:rPr>
                <w:rFonts w:ascii="Times New Roman" w:hAnsi="Times New Roman" w:cs="Times New Roman"/>
              </w:rPr>
            </w:pPr>
            <w:r w:rsidRPr="00AB05F9">
              <w:rPr>
                <w:rFonts w:ascii="Times New Roman" w:hAnsi="Times New Roman" w:cs="Times New Roman"/>
              </w:rPr>
              <w:t>Bidders may withdraw Proposals and remove themselves from consideration by providing written notification, in the form specified in OAC 260:115-3-13, to the OHCA sole point of contact at any time prior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to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the</w:t>
            </w:r>
            <w:r w:rsidRPr="00AB05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submission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deadline.</w:t>
            </w:r>
            <w:r w:rsidRPr="00AB05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The</w:t>
            </w:r>
            <w:r w:rsidRPr="00AB05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OHCA</w:t>
            </w:r>
            <w:r w:rsidRPr="00AB05F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sole</w:t>
            </w:r>
            <w:r w:rsidRPr="00AB05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point</w:t>
            </w:r>
            <w:r w:rsidRPr="00AB05F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of</w:t>
            </w:r>
            <w:r w:rsidRPr="00AB05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contact</w:t>
            </w:r>
            <w:r w:rsidRPr="00AB05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is</w:t>
            </w:r>
            <w:r w:rsidRPr="00AB05F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provided</w:t>
            </w:r>
            <w:r w:rsidRPr="00AB05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in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Section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w:anchor="_bookmark3" w:history="1">
              <w:r w:rsidRPr="00AB05F9">
                <w:rPr>
                  <w:rFonts w:ascii="Times New Roman" w:hAnsi="Times New Roman" w:cs="Times New Roman"/>
                </w:rPr>
                <w:t>1.6.2</w:t>
              </w:r>
            </w:hyperlink>
            <w:r w:rsidRPr="00AB05F9">
              <w:rPr>
                <w:rFonts w:ascii="Times New Roman" w:hAnsi="Times New Roman" w:cs="Times New Roman"/>
              </w:rPr>
              <w:t>:</w:t>
            </w:r>
            <w:r w:rsidRPr="00AB05F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“</w:t>
            </w:r>
            <w:hyperlink w:anchor="_bookmark3" w:history="1">
              <w:r w:rsidRPr="00AB05F9">
                <w:rPr>
                  <w:rFonts w:ascii="Times New Roman" w:hAnsi="Times New Roman" w:cs="Times New Roman"/>
                </w:rPr>
                <w:t>OHCA</w:t>
              </w:r>
              <w:r w:rsidRPr="00AB05F9">
                <w:rPr>
                  <w:rFonts w:ascii="Times New Roman" w:hAnsi="Times New Roman" w:cs="Times New Roman"/>
                  <w:spacing w:val="-7"/>
                </w:rPr>
                <w:t xml:space="preserve"> </w:t>
              </w:r>
              <w:r w:rsidRPr="00AB05F9">
                <w:rPr>
                  <w:rFonts w:ascii="Times New Roman" w:hAnsi="Times New Roman" w:cs="Times New Roman"/>
                </w:rPr>
                <w:t>Sole</w:t>
              </w:r>
            </w:hyperlink>
            <w:r w:rsidRPr="00AB05F9">
              <w:rPr>
                <w:rFonts w:ascii="Times New Roman" w:hAnsi="Times New Roman" w:cs="Times New Roman"/>
              </w:rPr>
              <w:t xml:space="preserve"> </w:t>
            </w:r>
            <w:hyperlink w:anchor="_bookmark3" w:history="1">
              <w:r w:rsidRPr="00AB05F9">
                <w:rPr>
                  <w:rFonts w:ascii="Times New Roman" w:hAnsi="Times New Roman" w:cs="Times New Roman"/>
                </w:rPr>
                <w:t>Point</w:t>
              </w:r>
              <w:r w:rsidRPr="00AB05F9">
                <w:rPr>
                  <w:rFonts w:ascii="Times New Roman" w:hAnsi="Times New Roman" w:cs="Times New Roman"/>
                  <w:spacing w:val="-12"/>
                </w:rPr>
                <w:t xml:space="preserve"> </w:t>
              </w:r>
              <w:r w:rsidRPr="00AB05F9">
                <w:rPr>
                  <w:rFonts w:ascii="Times New Roman" w:hAnsi="Times New Roman" w:cs="Times New Roman"/>
                </w:rPr>
                <w:t>of</w:t>
              </w:r>
              <w:r w:rsidRPr="00AB05F9">
                <w:rPr>
                  <w:rFonts w:ascii="Times New Roman" w:hAnsi="Times New Roman" w:cs="Times New Roman"/>
                  <w:spacing w:val="-13"/>
                </w:rPr>
                <w:t xml:space="preserve"> </w:t>
              </w:r>
              <w:r w:rsidRPr="00AB05F9">
                <w:rPr>
                  <w:rFonts w:ascii="Times New Roman" w:hAnsi="Times New Roman" w:cs="Times New Roman"/>
                </w:rPr>
                <w:t>Contact</w:t>
              </w:r>
            </w:hyperlink>
            <w:r w:rsidRPr="00AB05F9">
              <w:rPr>
                <w:rFonts w:ascii="Times New Roman" w:hAnsi="Times New Roman" w:cs="Times New Roman"/>
              </w:rPr>
              <w:t>.”  A</w:t>
            </w:r>
            <w:r w:rsidRPr="00AB05F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bid</w:t>
            </w:r>
            <w:r w:rsidRPr="00AB05F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may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not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be</w:t>
            </w:r>
            <w:r w:rsidRPr="00AB05F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withdrawn</w:t>
            </w:r>
            <w:r w:rsidRPr="00AB05F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after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the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response</w:t>
            </w:r>
            <w:r w:rsidRPr="00AB05F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due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date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and</w:t>
            </w:r>
            <w:r w:rsidRPr="00AB05F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time</w:t>
            </w:r>
            <w:r w:rsidRPr="00AB05F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except</w:t>
            </w:r>
            <w:r w:rsidRPr="00AB05F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as</w:t>
            </w:r>
            <w:r w:rsidRPr="00AB05F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authorized by the OHCA CEO after proof by the Bidder that a significant error by the Bidder exists in the</w:t>
            </w:r>
            <w:r w:rsidRPr="00AB05F9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AB05F9">
              <w:rPr>
                <w:rFonts w:ascii="Times New Roman" w:hAnsi="Times New Roman" w:cs="Times New Roman"/>
              </w:rPr>
              <w:t>bid.</w:t>
            </w:r>
          </w:p>
          <w:p w14:paraId="4DB635F6" w14:textId="77777777" w:rsidR="00AB05F9" w:rsidRPr="00AB05F9" w:rsidRDefault="00AB05F9" w:rsidP="00AB05F9">
            <w:pPr>
              <w:pStyle w:val="BodyText"/>
              <w:spacing w:before="150" w:line="256" w:lineRule="auto"/>
              <w:ind w:right="1016"/>
              <w:rPr>
                <w:rFonts w:ascii="Times New Roman" w:hAnsi="Times New Roman" w:cs="Times New Roman"/>
              </w:rPr>
            </w:pPr>
            <w:r w:rsidRPr="00AB05F9">
              <w:rPr>
                <w:rFonts w:ascii="Times New Roman" w:hAnsi="Times New Roman" w:cs="Times New Roman"/>
              </w:rPr>
              <w:t>Unless properly withdrawn, the submitted Proposal is deemed to be a binding offer on the part of the Bidder.</w:t>
            </w:r>
          </w:p>
          <w:p w14:paraId="7472B232" w14:textId="77777777" w:rsidR="00AB05F9" w:rsidRPr="003A5E36" w:rsidRDefault="00AB05F9" w:rsidP="002B13AC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3BDF" w14:textId="181FB399" w:rsidR="00940B17" w:rsidRPr="003A5E36" w:rsidRDefault="00940B17" w:rsidP="00940B17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6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7B1BEC" w:rsidRPr="003A5E36">
              <w:rPr>
                <w:rFonts w:ascii="Times New Roman" w:hAnsi="Times New Roman" w:cs="Times New Roman"/>
                <w:sz w:val="24"/>
                <w:szCs w:val="24"/>
              </w:rPr>
              <w:t xml:space="preserve">A: Dental Solicitation Questions is replaced with </w:t>
            </w:r>
            <w:r w:rsidR="009742F5" w:rsidRPr="003A5E36">
              <w:rPr>
                <w:rFonts w:ascii="Times New Roman" w:hAnsi="Times New Roman" w:cs="Times New Roman"/>
                <w:sz w:val="24"/>
                <w:szCs w:val="24"/>
              </w:rPr>
              <w:t>Solicitation_8070001235_Form_A_DENTAL_Updated 10.20.2020</w:t>
            </w:r>
          </w:p>
          <w:p w14:paraId="1B69ACA7" w14:textId="77777777" w:rsidR="003A5E36" w:rsidRPr="003A5E36" w:rsidRDefault="003A5E36" w:rsidP="00940B17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F5B1E" w14:textId="4083F4EA" w:rsidR="002C14BF" w:rsidRPr="00F558C8" w:rsidRDefault="002C14BF" w:rsidP="001C5DDD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</w:tc>
      </w:tr>
      <w:tr w:rsidR="00AB05F9" w14:paraId="30A5AFEC" w14:textId="77777777" w:rsidTr="00AB05F9">
        <w:trPr>
          <w:gridBefore w:val="1"/>
          <w:gridAfter w:val="3"/>
          <w:wBefore w:w="90" w:type="dxa"/>
          <w:wAfter w:w="246" w:type="dxa"/>
          <w:trHeight w:val="97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C91" w14:textId="6D8D8C07" w:rsidR="00AB05F9" w:rsidRPr="002C14BF" w:rsidRDefault="00AB05F9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8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228D8"/>
    <w:rsid w:val="00140F6E"/>
    <w:rsid w:val="001459B3"/>
    <w:rsid w:val="00163545"/>
    <w:rsid w:val="001645DA"/>
    <w:rsid w:val="00175406"/>
    <w:rsid w:val="001B02BC"/>
    <w:rsid w:val="001C5DDD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D27C1"/>
    <w:rsid w:val="007E4290"/>
    <w:rsid w:val="007F4C58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52FD1"/>
    <w:rsid w:val="00E6310C"/>
    <w:rsid w:val="00E64370"/>
    <w:rsid w:val="00E71818"/>
    <w:rsid w:val="00E72F7F"/>
    <w:rsid w:val="00E77510"/>
    <w:rsid w:val="00E82A8E"/>
    <w:rsid w:val="00E928CD"/>
    <w:rsid w:val="00EA657E"/>
    <w:rsid w:val="00EB320E"/>
    <w:rsid w:val="00ED736E"/>
    <w:rsid w:val="00F00BE9"/>
    <w:rsid w:val="00F051B9"/>
    <w:rsid w:val="00F06E46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www.w3.org/XML/1998/namespace"/>
    <ds:schemaRef ds:uri="http://schemas.microsoft.com/office/infopath/2007/PartnerControls"/>
    <ds:schemaRef ds:uri="2616b61c-01e3-420e-954d-f9606dbef89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0BE652-D633-47BD-B431-43105777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Sheila Killingsworth</cp:lastModifiedBy>
  <cp:revision>8</cp:revision>
  <cp:lastPrinted>2008-12-08T14:07:00Z</cp:lastPrinted>
  <dcterms:created xsi:type="dcterms:W3CDTF">2020-10-16T14:34:00Z</dcterms:created>
  <dcterms:modified xsi:type="dcterms:W3CDTF">2020-11-02T18:45:00Z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