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4DF" w:rsidRDefault="00FB34DF" w:rsidP="00FB34DF">
      <w:r>
        <w:t>Photo: Man standing in front of fence with college football stadium behind him.</w:t>
      </w:r>
    </w:p>
    <w:p w:rsidR="00416A2F" w:rsidRPr="00FB34DF" w:rsidRDefault="00FB34DF" w:rsidP="00FB34DF">
      <w:pPr>
        <w:pStyle w:val="NoSpacing"/>
      </w:pPr>
      <w:r w:rsidRPr="00FB34DF">
        <w:t>Empowering Oklahomans with Disabilities</w:t>
      </w:r>
    </w:p>
    <w:p w:rsidR="00FB34DF" w:rsidRPr="00FB34DF" w:rsidRDefault="00FB34DF" w:rsidP="00FB34DF">
      <w:pPr>
        <w:pStyle w:val="NoSpacing"/>
      </w:pPr>
      <w:r w:rsidRPr="00FB34DF">
        <w:t>Oklahoma Department of Rehabilitation Services</w:t>
      </w:r>
    </w:p>
    <w:p w:rsidR="00FB34DF" w:rsidRPr="00FB34DF" w:rsidRDefault="00FB34DF" w:rsidP="00FB34DF">
      <w:pPr>
        <w:pStyle w:val="NoSpacing"/>
      </w:pPr>
      <w:r w:rsidRPr="00FB34DF">
        <w:t>Annual Report 2019</w:t>
      </w:r>
    </w:p>
    <w:p w:rsidR="00FB34DF" w:rsidRDefault="00FB34DF" w:rsidP="00FB34DF">
      <w:pPr>
        <w:sectPr w:rsidR="00FB34DF">
          <w:footerReference w:type="default" r:id="rId8"/>
          <w:pgSz w:w="12240" w:h="15840"/>
          <w:pgMar w:top="1440" w:right="1440" w:bottom="1440" w:left="1440" w:header="720" w:footer="720" w:gutter="0"/>
          <w:cols w:space="720"/>
          <w:docGrid w:linePitch="360"/>
        </w:sectPr>
      </w:pPr>
      <w:r>
        <w:t>Graphic: DRS logo</w:t>
      </w:r>
      <w:r w:rsidR="00817586">
        <w:t>.</w:t>
      </w:r>
    </w:p>
    <w:p w:rsidR="00FB34DF" w:rsidRDefault="00FB34DF" w:rsidP="00FB34DF">
      <w:r>
        <w:lastRenderedPageBreak/>
        <w:t>2019 Agency highlights</w:t>
      </w:r>
    </w:p>
    <w:p w:rsidR="00FB34DF" w:rsidRDefault="00FB34DF" w:rsidP="00FB34DF">
      <w:proofErr w:type="gramStart"/>
      <w:r>
        <w:t>82,787</w:t>
      </w:r>
      <w:proofErr w:type="gramEnd"/>
      <w:r>
        <w:t>, Total number of Oklahomans served by DRS in State Fiscal Year 2019 (DDS data is for Federal Fiscal Year 2019).</w:t>
      </w:r>
    </w:p>
    <w:p w:rsidR="00FB34DF" w:rsidRDefault="00FB34DF" w:rsidP="00FB34DF">
      <w:r>
        <w:t>15,225, Oklahomans who received assistance from DRS’ Vocational Rehabilitation and Services for the Blind and Visually Impaired in State FY 2019.</w:t>
      </w:r>
    </w:p>
    <w:p w:rsidR="00FB34DF" w:rsidRDefault="00FB34DF" w:rsidP="00773188">
      <w:r>
        <w:t xml:space="preserve">$23,409, Annual average yearly earnings in SFY 2019 of clients who received VR and SBVI services. </w:t>
      </w:r>
    </w:p>
    <w:p w:rsidR="00FB34DF" w:rsidRDefault="00773188" w:rsidP="00773188">
      <w:proofErr w:type="gramStart"/>
      <w:r>
        <w:t>89,997</w:t>
      </w:r>
      <w:proofErr w:type="gramEnd"/>
      <w:r>
        <w:t>, Total number of cases cleared by Disability Determination Services in FFY 2019.</w:t>
      </w:r>
    </w:p>
    <w:p w:rsidR="00773188" w:rsidRDefault="00773188" w:rsidP="00773188">
      <w:r>
        <w:t>$10,145, Average cost of services clients of DRS’ VR and SBVI clients in FY 2019.</w:t>
      </w:r>
    </w:p>
    <w:p w:rsidR="00773188" w:rsidRDefault="00773188" w:rsidP="00773188">
      <w:pPr>
        <w:sectPr w:rsidR="00773188">
          <w:footerReference w:type="default" r:id="rId9"/>
          <w:pgSz w:w="12240" w:h="15840"/>
          <w:pgMar w:top="1440" w:right="1440" w:bottom="1440" w:left="1440" w:header="720" w:footer="720" w:gutter="0"/>
          <w:cols w:space="720"/>
          <w:docGrid w:linePitch="360"/>
        </w:sectPr>
      </w:pPr>
      <w:proofErr w:type="gramStart"/>
      <w:r>
        <w:t>4,798</w:t>
      </w:r>
      <w:proofErr w:type="gramEnd"/>
      <w:r>
        <w:t>, Oklahomans served by the state’s Library for the Blind and Physically Handicapped in FY 2019.</w:t>
      </w:r>
    </w:p>
    <w:p w:rsidR="00773188" w:rsidRDefault="00773188" w:rsidP="00FB34DF">
      <w:r>
        <w:lastRenderedPageBreak/>
        <w:t>$4 to $1, Federal to state match for VR and SBVI employment programs in SFY 2019.</w:t>
      </w:r>
    </w:p>
    <w:p w:rsidR="00773188" w:rsidRDefault="00773188" w:rsidP="00773188">
      <w:proofErr w:type="gramStart"/>
      <w:r>
        <w:t>31,918</w:t>
      </w:r>
      <w:proofErr w:type="gramEnd"/>
      <w:r>
        <w:t>, Total number of outreach direct services delivered by OSB and OSD in SFY 2019.</w:t>
      </w:r>
    </w:p>
    <w:p w:rsidR="00773188" w:rsidRDefault="00773188" w:rsidP="00FB34DF">
      <w:pPr>
        <w:sectPr w:rsidR="00773188" w:rsidSect="008B4E38">
          <w:footerReference w:type="default" r:id="rId10"/>
          <w:pgSz w:w="12240" w:h="15840"/>
          <w:pgMar w:top="720" w:right="720" w:bottom="720" w:left="720" w:header="720" w:footer="720" w:gutter="0"/>
          <w:cols w:space="720"/>
          <w:noEndnote/>
        </w:sectPr>
      </w:pPr>
      <w:r>
        <w:t>$11.9 million, Estimated DDS Fraud Unit savings to taxpayers for FFY 2019.</w:t>
      </w:r>
    </w:p>
    <w:p w:rsidR="00773188" w:rsidRDefault="00773188" w:rsidP="00773188">
      <w:r>
        <w:lastRenderedPageBreak/>
        <w:t>Photo: Students and adults listen to man discuss jobs at a local business.</w:t>
      </w:r>
    </w:p>
    <w:p w:rsidR="00773188" w:rsidRPr="00773188" w:rsidRDefault="00773188" w:rsidP="00773188">
      <w:pPr>
        <w:rPr>
          <w:rFonts w:ascii="News Gothic Std" w:hAnsi="News Gothic Std" w:cs="News Gothic Std"/>
          <w:color w:val="000000" w:themeColor="text1"/>
          <w:sz w:val="24"/>
          <w:szCs w:val="24"/>
        </w:rPr>
      </w:pPr>
      <w:r>
        <w:t>DRS helps Oklahomans go to work</w:t>
      </w:r>
    </w:p>
    <w:p w:rsidR="00773188" w:rsidRPr="00773188" w:rsidRDefault="00773188" w:rsidP="00773188">
      <w:r w:rsidRPr="00773188">
        <w:t xml:space="preserve">The Oklahoma Department of Rehabilitation Services expands opportunities for work, independent living and economic self-sufficiency by helping Oklahomans with disabilities overcome barriers to success in the workplace, school and at home.   </w:t>
      </w:r>
    </w:p>
    <w:p w:rsidR="00773188" w:rsidRPr="00773188" w:rsidRDefault="00773188" w:rsidP="00773188">
      <w:r w:rsidRPr="00773188">
        <w:t xml:space="preserve">One in six Oklahomans has a disability, and DRS’ Vocational Rehabilitation programs introduce or reinstate people with disabilities back into the work force, creating taxpayers and reducing dependence on disability benefits and social assistance. </w:t>
      </w:r>
    </w:p>
    <w:p w:rsidR="00773188" w:rsidRDefault="00773188" w:rsidP="00773188">
      <w:r w:rsidRPr="00773188">
        <w:t xml:space="preserve">DRS </w:t>
      </w:r>
      <w:proofErr w:type="gramStart"/>
      <w:r w:rsidRPr="00773188">
        <w:t>clients</w:t>
      </w:r>
      <w:proofErr w:type="gramEnd"/>
      <w:r w:rsidRPr="00773188">
        <w:t xml:space="preserve"> exercise informed choice to achieve goals that promote equality of opportunity, full inclusion and integration into society, employment, independent living, and economic and social self-sufficiency.</w:t>
      </w:r>
    </w:p>
    <w:p w:rsidR="00773188" w:rsidRDefault="00773188" w:rsidP="00773188">
      <w:pPr>
        <w:sectPr w:rsidR="00773188" w:rsidSect="008B4E38">
          <w:footerReference w:type="default" r:id="rId11"/>
          <w:pgSz w:w="12240" w:h="15840"/>
          <w:pgMar w:top="720" w:right="720" w:bottom="720" w:left="720" w:header="720" w:footer="720" w:gutter="0"/>
          <w:cols w:space="720"/>
          <w:noEndnote/>
        </w:sectPr>
      </w:pPr>
      <w:r>
        <w:t>The Oklahoma Department of Rehabilitation Services is comprised of eight divisions highlighted below that work to serve the 1-in-6 Oklahomans who have a disability</w:t>
      </w:r>
      <w:r w:rsidR="00817586">
        <w:t>.</w:t>
      </w:r>
    </w:p>
    <w:p w:rsidR="00A10332" w:rsidRDefault="00773188" w:rsidP="00A10332">
      <w:r>
        <w:lastRenderedPageBreak/>
        <w:t>Graphic: Eight colored circles around DRS logo with a name of a division within each. Executive, Management Services, Services for the Blind and Visually Impaired, Financial Services, Oklahoma School for the Blind, Oklahoma School for the Deaf, Disability Determination Services and Vocational Rehabilitation.</w:t>
      </w:r>
    </w:p>
    <w:p w:rsidR="00773188" w:rsidRPr="00A10332" w:rsidRDefault="00773188" w:rsidP="00A10332">
      <w:pPr>
        <w:sectPr w:rsidR="00773188" w:rsidRPr="00A10332" w:rsidSect="008B4E38">
          <w:footerReference w:type="default" r:id="rId12"/>
          <w:pgSz w:w="12240" w:h="15840"/>
          <w:pgMar w:top="720" w:right="720" w:bottom="720" w:left="720" w:header="720" w:footer="720" w:gutter="0"/>
          <w:cols w:space="720"/>
          <w:noEndnote/>
        </w:sectPr>
      </w:pPr>
    </w:p>
    <w:p w:rsidR="00A10332" w:rsidRDefault="00A10332" w:rsidP="00A10332">
      <w:r>
        <w:lastRenderedPageBreak/>
        <w:t>Commission for Rehabilitation Services</w:t>
      </w:r>
    </w:p>
    <w:p w:rsidR="00A10332" w:rsidRDefault="00A10332" w:rsidP="00A10332">
      <w:r>
        <w:t>Photo: Man wearing black suit.</w:t>
      </w:r>
    </w:p>
    <w:p w:rsidR="00A10332" w:rsidRDefault="00A10332" w:rsidP="00A10332">
      <w:r>
        <w:t xml:space="preserve">Chairman </w:t>
      </w:r>
      <w:proofErr w:type="spellStart"/>
      <w:r>
        <w:t>Jace</w:t>
      </w:r>
      <w:proofErr w:type="spellEnd"/>
      <w:r>
        <w:t xml:space="preserve"> Wolfe</w:t>
      </w:r>
    </w:p>
    <w:p w:rsidR="00A10332" w:rsidRDefault="00A10332" w:rsidP="00A10332">
      <w:r>
        <w:t xml:space="preserve">Commission Chairman </w:t>
      </w:r>
      <w:proofErr w:type="spellStart"/>
      <w:r>
        <w:t>Jace</w:t>
      </w:r>
      <w:proofErr w:type="spellEnd"/>
      <w:r>
        <w:t xml:space="preserve"> Wolfe, of Edmond, is the director of audiology and research at the Hearts for Hearing Foundation in Oklahoma City.</w:t>
      </w:r>
    </w:p>
    <w:p w:rsidR="00A10332" w:rsidRDefault="00A10332" w:rsidP="00A10332">
      <w:r>
        <w:t xml:space="preserve">He is also an adjunct professor in the audiology department at the University </w:t>
      </w:r>
      <w:proofErr w:type="gramStart"/>
      <w:r>
        <w:t>of</w:t>
      </w:r>
      <w:proofErr w:type="gramEnd"/>
      <w:r>
        <w:t xml:space="preserve"> Oklahoma Health Sciences Center in Oklahoma City and </w:t>
      </w:r>
      <w:proofErr w:type="spellStart"/>
      <w:r>
        <w:t>Salus</w:t>
      </w:r>
      <w:proofErr w:type="spellEnd"/>
      <w:r>
        <w:t xml:space="preserve"> University in Elkins Park, Pa.</w:t>
      </w:r>
    </w:p>
    <w:p w:rsidR="00A10332" w:rsidRDefault="00A10332" w:rsidP="00A10332">
      <w:r>
        <w:t>Wolfe’s areas of interest are pediatric amplification and cochlear implantation, personal remote microphone technology and signal processing for children.</w:t>
      </w:r>
    </w:p>
    <w:p w:rsidR="00A10332" w:rsidRDefault="00A10332" w:rsidP="00A10332">
      <w:pPr>
        <w:sectPr w:rsidR="00A10332" w:rsidSect="008B4E38">
          <w:footerReference w:type="default" r:id="rId13"/>
          <w:pgSz w:w="12240" w:h="15840"/>
          <w:pgMar w:top="720" w:right="720" w:bottom="720" w:left="720" w:header="720" w:footer="720" w:gutter="0"/>
          <w:cols w:space="720"/>
          <w:noEndnote/>
        </w:sectPr>
      </w:pPr>
      <w:r>
        <w:t>He provides clinical services for children and adults with hearing loss and is actively engaged in research pertaining to hearing aids, cochlear implants, hybrid cochlear implants and personal remote microphone systems.</w:t>
      </w:r>
    </w:p>
    <w:p w:rsidR="00A10332" w:rsidRDefault="00A10332" w:rsidP="00A10332">
      <w:r>
        <w:lastRenderedPageBreak/>
        <w:t>Wolfe has authored and co-authored textbooks and many publications and articles in professional journals and has presented at state, national and international conferences and symposiums.</w:t>
      </w:r>
    </w:p>
    <w:p w:rsidR="00A10332" w:rsidRDefault="00A10332" w:rsidP="00A10332">
      <w:proofErr w:type="gramStart"/>
      <w:r>
        <w:t>Photo :</w:t>
      </w:r>
      <w:proofErr w:type="gramEnd"/>
      <w:r>
        <w:t xml:space="preserve"> Man wearing glasses in blue suit.</w:t>
      </w:r>
    </w:p>
    <w:p w:rsidR="00A10332" w:rsidRDefault="00A10332" w:rsidP="00A10332">
      <w:r>
        <w:t>Vice Chairman Wes Hilliard</w:t>
      </w:r>
    </w:p>
    <w:p w:rsidR="00A10332" w:rsidRDefault="00A10332" w:rsidP="00A10332">
      <w:r>
        <w:t>Vice Chairman Wes Hilliard is a Sulphur banker and former Oklahoma state representative.</w:t>
      </w:r>
    </w:p>
    <w:p w:rsidR="00A10332" w:rsidRDefault="00A10332" w:rsidP="00A10332">
      <w:r>
        <w:t>Oklahoma House of Representatives Speaker Charles McCall, R-Atoka, appointed Hilliard to the Commission in July.</w:t>
      </w:r>
    </w:p>
    <w:p w:rsidR="00A10332" w:rsidRDefault="00A10332" w:rsidP="00A10332">
      <w:pPr>
        <w:sectPr w:rsidR="00A10332" w:rsidSect="008B4E38">
          <w:footerReference w:type="default" r:id="rId14"/>
          <w:pgSz w:w="12240" w:h="15840"/>
          <w:pgMar w:top="720" w:right="720" w:bottom="720" w:left="720" w:header="720" w:footer="720" w:gutter="0"/>
          <w:cols w:space="720"/>
          <w:noEndnote/>
        </w:sectPr>
      </w:pPr>
      <w:r>
        <w:t xml:space="preserve">Hilliard is president of Landmark Bank in Sulphur and Davis. He served in the Oklahoma House of Representatives from 2004 to 2012. He has a bachelor’s degree in political science from Oklahoma State University and a master’s in education from East Central University in Ada. </w:t>
      </w:r>
    </w:p>
    <w:p w:rsidR="00A10332" w:rsidRDefault="00A10332" w:rsidP="00A10332">
      <w:r>
        <w:lastRenderedPageBreak/>
        <w:t>“I am definitely excited about serving in the role as vice chair,” Hilliard said. “I was impressed with the number of people who attend meetings and engage with the Commission. There are a lot of positive things happening at the Department of Rehabilitation Services, and I am proud to be a part of it.”</w:t>
      </w:r>
    </w:p>
    <w:p w:rsidR="00A10332" w:rsidRDefault="00A10332" w:rsidP="00A10332">
      <w:r>
        <w:t>Hilliard and his wife Melissa have three children, Weston, Jaxson and Blake.</w:t>
      </w:r>
    </w:p>
    <w:p w:rsidR="00773188" w:rsidRDefault="00A10332" w:rsidP="00A10332">
      <w:r>
        <w:t>Photo: Woman in black blouse.</w:t>
      </w:r>
      <w:r w:rsidRPr="00773188">
        <w:t xml:space="preserve"> </w:t>
      </w:r>
    </w:p>
    <w:p w:rsidR="00A10332" w:rsidRDefault="00A10332" w:rsidP="00A10332">
      <w:r>
        <w:t>Commissioner Emily Cheng</w:t>
      </w:r>
    </w:p>
    <w:p w:rsidR="00A10332" w:rsidRDefault="00A10332" w:rsidP="00A10332">
      <w:r>
        <w:t xml:space="preserve">Commissioner Emily Cheng is director of disability services and diversity at Oklahoma State University – Oklahoma City. She had previously served </w:t>
      </w:r>
      <w:r>
        <w:br/>
        <w:t>12 1/2 years as an academic advisor and disabilities services coordinator at the school.</w:t>
      </w:r>
    </w:p>
    <w:p w:rsidR="00A10332" w:rsidRDefault="00A10332" w:rsidP="00A10332">
      <w:pPr>
        <w:sectPr w:rsidR="00A10332" w:rsidSect="008B4E38">
          <w:footerReference w:type="default" r:id="rId15"/>
          <w:pgSz w:w="12240" w:h="15840"/>
          <w:pgMar w:top="720" w:right="720" w:bottom="720" w:left="720" w:header="720" w:footer="720" w:gutter="0"/>
          <w:cols w:space="720"/>
          <w:noEndnote/>
        </w:sectPr>
      </w:pPr>
      <w:r>
        <w:t>Cheng, who herself has cerebral palsy, began advocating for those with disabilities while in college. She said she finds fulfillment in helping Oklahomans with disabilities accomplish their goals and reach their full potential.</w:t>
      </w:r>
    </w:p>
    <w:p w:rsidR="00A10332" w:rsidRDefault="00A10332" w:rsidP="00A10332">
      <w:r>
        <w:lastRenderedPageBreak/>
        <w:t xml:space="preserve">Cheng has a degree in psychology and sociology from Tulane University as well as a master’s degree in rehabilitation counseling from Louisiana State University Health Sciences Center. </w:t>
      </w:r>
    </w:p>
    <w:p w:rsidR="00A10332" w:rsidRDefault="00A10332" w:rsidP="00A10332">
      <w:r>
        <w:t>After college, Cheng worked as a counselor at a nonprofit, which served those suffering from compulsive gambling. Less than two years later, she became a rehabilitation counselor for Louisiana Rehabilitation Services, that state’s DRS counterpart.</w:t>
      </w:r>
    </w:p>
    <w:p w:rsidR="00A10332" w:rsidRDefault="00A10332" w:rsidP="00A10332">
      <w:pPr>
        <w:sectPr w:rsidR="00A10332" w:rsidSect="008B4E38">
          <w:footerReference w:type="default" r:id="rId16"/>
          <w:pgSz w:w="12240" w:h="15840"/>
          <w:pgMar w:top="720" w:right="720" w:bottom="720" w:left="720" w:header="720" w:footer="720" w:gutter="0"/>
          <w:cols w:space="720"/>
          <w:noEndnote/>
        </w:sectPr>
      </w:pPr>
      <w:r>
        <w:t xml:space="preserve">Cheng is married to Neil </w:t>
      </w:r>
      <w:proofErr w:type="spellStart"/>
      <w:r>
        <w:t>Cambre</w:t>
      </w:r>
      <w:proofErr w:type="spellEnd"/>
      <w:r>
        <w:t xml:space="preserve"> and lives in Oklahoma City.</w:t>
      </w:r>
    </w:p>
    <w:p w:rsidR="00A10332" w:rsidRDefault="00A10332" w:rsidP="00A10332">
      <w:r>
        <w:lastRenderedPageBreak/>
        <w:t>Message from the director</w:t>
      </w:r>
    </w:p>
    <w:p w:rsidR="00A10332" w:rsidRDefault="00A10332" w:rsidP="00A10332">
      <w:r>
        <w:t>DRS focused on helping Oklahomans with disabilities live independently, go to work</w:t>
      </w:r>
    </w:p>
    <w:p w:rsidR="00A10332" w:rsidRDefault="00A10332" w:rsidP="00A10332">
      <w:r>
        <w:t>Photo: Woman wearing glasses and smiling.</w:t>
      </w:r>
    </w:p>
    <w:p w:rsidR="00A10332" w:rsidRDefault="00A10332" w:rsidP="00A10332">
      <w:r>
        <w:t xml:space="preserve">Graphic Signature </w:t>
      </w:r>
    </w:p>
    <w:p w:rsidR="00A10332" w:rsidRDefault="00A10332" w:rsidP="00A10332">
      <w:r>
        <w:t>DRS Executive Director Melinda Fruendt</w:t>
      </w:r>
    </w:p>
    <w:p w:rsidR="00A10332" w:rsidRDefault="00A10332" w:rsidP="00A10332">
      <w:pPr>
        <w:rPr>
          <w:spacing w:val="7"/>
        </w:rPr>
        <w:sectPr w:rsidR="00A10332" w:rsidSect="008B4E38">
          <w:footerReference w:type="default" r:id="rId17"/>
          <w:pgSz w:w="12240" w:h="15840"/>
          <w:pgMar w:top="720" w:right="720" w:bottom="720" w:left="720" w:header="720" w:footer="720" w:gutter="0"/>
          <w:cols w:space="720"/>
          <w:noEndnote/>
        </w:sectPr>
      </w:pPr>
      <w:proofErr w:type="spellStart"/>
      <w:r>
        <w:t>Oklahomans</w:t>
      </w:r>
      <w:proofErr w:type="gramStart"/>
      <w:r>
        <w:t>,</w:t>
      </w:r>
      <w:r>
        <w:rPr>
          <w:spacing w:val="7"/>
        </w:rPr>
        <w:t>I</w:t>
      </w:r>
      <w:proofErr w:type="spellEnd"/>
      <w:proofErr w:type="gramEnd"/>
      <w:r>
        <w:rPr>
          <w:spacing w:val="7"/>
        </w:rPr>
        <w:t xml:space="preserve"> am pleased to present the 2019 Oklahoma Department of Rehabilitation Services Annual Report, reflecting our work to deliver access and quality services to Oklahomans with disabilities. The cornerstone of DRS’ work is to make a difference in someone’s life. We achieve this through accountability for quality results. </w:t>
      </w:r>
    </w:p>
    <w:p w:rsidR="00A10332" w:rsidRDefault="00A10332" w:rsidP="00A10332">
      <w:pPr>
        <w:rPr>
          <w:spacing w:val="7"/>
        </w:rPr>
      </w:pPr>
      <w:r>
        <w:rPr>
          <w:spacing w:val="7"/>
        </w:rPr>
        <w:lastRenderedPageBreak/>
        <w:t xml:space="preserve">Our dedication </w:t>
      </w:r>
      <w:proofErr w:type="gramStart"/>
      <w:r>
        <w:rPr>
          <w:spacing w:val="7"/>
        </w:rPr>
        <w:t>is reflected</w:t>
      </w:r>
      <w:proofErr w:type="gramEnd"/>
      <w:r>
        <w:rPr>
          <w:spacing w:val="7"/>
        </w:rPr>
        <w:t xml:space="preserve"> in the 2019 program outcomes including:</w:t>
      </w:r>
    </w:p>
    <w:p w:rsidR="00A10332" w:rsidRDefault="00A10332" w:rsidP="00A10332">
      <w:pPr>
        <w:rPr>
          <w:spacing w:val="7"/>
        </w:rPr>
      </w:pPr>
      <w:r>
        <w:rPr>
          <w:spacing w:val="7"/>
        </w:rPr>
        <w:t xml:space="preserve">DRS’ Services for the Blind and Visually Impaired and Vocational Rehabilitation divisions served 15,225 Oklahomans on their path to find employment. This resulted in 100 Visual Services (as of Nov. 1 renamed Services for the Blind and Visually </w:t>
      </w:r>
      <w:proofErr w:type="gramStart"/>
      <w:r>
        <w:rPr>
          <w:spacing w:val="7"/>
        </w:rPr>
        <w:t>Impaired</w:t>
      </w:r>
      <w:proofErr w:type="gramEnd"/>
      <w:r>
        <w:rPr>
          <w:spacing w:val="7"/>
        </w:rPr>
        <w:t xml:space="preserve">) clients and 1,015 Vocational Rehabilitation clients returning to the work force and once again becoming proud taxpayers. </w:t>
      </w:r>
    </w:p>
    <w:p w:rsidR="00A10332" w:rsidRDefault="00A10332" w:rsidP="00A10332">
      <w:pPr>
        <w:rPr>
          <w:spacing w:val="7"/>
        </w:rPr>
      </w:pPr>
      <w:r>
        <w:rPr>
          <w:spacing w:val="7"/>
        </w:rPr>
        <w:t>Our DRS schools continue to set high standards for academic success. The Oklahoma School for the Blind achieved a 100-percent graduation rate for their Class of 2019.</w:t>
      </w:r>
    </w:p>
    <w:p w:rsidR="00A10332" w:rsidRDefault="00A10332" w:rsidP="00A10332">
      <w:pPr>
        <w:rPr>
          <w:spacing w:val="7"/>
        </w:rPr>
        <w:sectPr w:rsidR="00A10332" w:rsidSect="008B4E38">
          <w:footerReference w:type="default" r:id="rId18"/>
          <w:pgSz w:w="12240" w:h="15840"/>
          <w:pgMar w:top="720" w:right="720" w:bottom="720" w:left="720" w:header="720" w:footer="720" w:gutter="0"/>
          <w:cols w:space="720"/>
          <w:noEndnote/>
        </w:sectPr>
      </w:pPr>
      <w:r>
        <w:rPr>
          <w:spacing w:val="7"/>
        </w:rPr>
        <w:t>DRS’ Disability Determination Services again performed at an extraordinary level, completing 100-percent of its allotted cases.</w:t>
      </w:r>
    </w:p>
    <w:p w:rsidR="00C77A71" w:rsidRDefault="00A10332" w:rsidP="00A10332">
      <w:r>
        <w:rPr>
          <w:spacing w:val="7"/>
        </w:rPr>
        <w:lastRenderedPageBreak/>
        <w:t>DRS employees strive to be an integral component in the lives and successes of each Oklahoman with a disability. We are committed to ensuring Oklahomans with disabilities have opportunities to attain their goals.</w:t>
      </w:r>
    </w:p>
    <w:p w:rsidR="00C77A71" w:rsidRDefault="00A10332" w:rsidP="00A10332">
      <w:pPr>
        <w:rPr>
          <w:spacing w:val="7"/>
        </w:rPr>
        <w:sectPr w:rsidR="00C77A71" w:rsidSect="008B4E38">
          <w:footerReference w:type="default" r:id="rId19"/>
          <w:pgSz w:w="12240" w:h="15840"/>
          <w:pgMar w:top="720" w:right="720" w:bottom="720" w:left="720" w:header="720" w:footer="720" w:gutter="0"/>
          <w:cols w:space="720"/>
          <w:noEndnote/>
        </w:sectPr>
      </w:pPr>
      <w:r>
        <w:rPr>
          <w:spacing w:val="7"/>
        </w:rPr>
        <w:t xml:space="preserve">Our agency employees work every day to ensure people with disabilities have the freedom to live independent lives and pursue meaningful careers. We are dedicated to the mission that each client realizes the future </w:t>
      </w:r>
      <w:proofErr w:type="gramStart"/>
      <w:r>
        <w:rPr>
          <w:spacing w:val="7"/>
        </w:rPr>
        <w:t>they</w:t>
      </w:r>
      <w:proofErr w:type="gramEnd"/>
      <w:r>
        <w:rPr>
          <w:spacing w:val="7"/>
        </w:rPr>
        <w:t xml:space="preserve"> pursue.</w:t>
      </w:r>
    </w:p>
    <w:p w:rsidR="00A10332" w:rsidRDefault="00C77A71" w:rsidP="00C77A71">
      <w:r>
        <w:lastRenderedPageBreak/>
        <w:t>Federal investment helps put Oklahomans back to work</w:t>
      </w:r>
    </w:p>
    <w:p w:rsidR="00C77A71" w:rsidRDefault="00C77A71" w:rsidP="00C77A71">
      <w:r>
        <w:t>Photo: Woman takes an aptitude test at DRS' Career Planning Center.</w:t>
      </w:r>
    </w:p>
    <w:p w:rsidR="00C77A71" w:rsidRDefault="00C77A71" w:rsidP="00C77A71">
      <w:r>
        <w:t xml:space="preserve">The Oklahoma Department of Rehabilitation Services maximizes state and federal resources in its mission to see Oklahomans pursue lives of independence through careers and training. </w:t>
      </w:r>
    </w:p>
    <w:p w:rsidR="00C77A71" w:rsidRDefault="00C77A71" w:rsidP="00C77A71">
      <w:r>
        <w:t>The motto for the agency is “Empowering Oklahomans with Disabilities,” and agency staff work every day to achieve that goal.</w:t>
      </w:r>
    </w:p>
    <w:p w:rsidR="00C77A71" w:rsidRDefault="00C77A71" w:rsidP="00C77A71">
      <w:pPr>
        <w:sectPr w:rsidR="00C77A71" w:rsidSect="008B4E38">
          <w:footerReference w:type="default" r:id="rId20"/>
          <w:pgSz w:w="12240" w:h="15840"/>
          <w:pgMar w:top="720" w:right="720" w:bottom="720" w:left="720" w:header="720" w:footer="720" w:gutter="0"/>
          <w:cols w:space="720"/>
          <w:noEndnote/>
        </w:sectPr>
      </w:pPr>
      <w:r>
        <w:t>The majority of funding for Vocational Rehabilitation and Services for the Blind and Visually Impaired is eligible for a federal/state match of 78.7 percent/21.3 percent. The Oklahoma Library for the Blind and Physically Handicapped is state-funded</w:t>
      </w:r>
      <w:r w:rsidR="00817586">
        <w:t>.</w:t>
      </w:r>
    </w:p>
    <w:p w:rsidR="00C77A71" w:rsidRDefault="00C77A71" w:rsidP="00C77A71">
      <w:r>
        <w:lastRenderedPageBreak/>
        <w:t>The majority of funding for Oklahoma School for the Blind and the Oklahoma School for the Deaf is state appropriations. Other OSD funding is primarily the Equipment Distribution Program, which provides telecommunications and other equipment to deaf, hard-of-hearing, deaf-blind and severely speech-impaired individuals.</w:t>
      </w:r>
    </w:p>
    <w:p w:rsidR="00C77A71" w:rsidRDefault="00C77A71" w:rsidP="00C77A71">
      <w:r>
        <w:t>In support services, DRS utilizes an indirect cost rate as the standardized method for individual programs to pay a fair share of support service (general administration) costs.</w:t>
      </w:r>
    </w:p>
    <w:p w:rsidR="00C77A71" w:rsidRDefault="00C77A71" w:rsidP="00C77A71">
      <w:r>
        <w:t xml:space="preserve">Statistical information </w:t>
      </w:r>
      <w:proofErr w:type="gramStart"/>
      <w:r>
        <w:t>is based</w:t>
      </w:r>
      <w:proofErr w:type="gramEnd"/>
      <w:r>
        <w:t xml:space="preserve"> on State Fiscal Year 2019.</w:t>
      </w:r>
    </w:p>
    <w:p w:rsidR="00C77A71" w:rsidRDefault="00C77A71" w:rsidP="00C77A71">
      <w:r>
        <w:t>FY 2019 Expenditures</w:t>
      </w:r>
    </w:p>
    <w:p w:rsidR="00C77A71" w:rsidRDefault="00C77A71" w:rsidP="00C77A71">
      <w:r>
        <w:t>Vocational Rehabilitation/Services for the Blind and Visually Impaired, State, $13,639,000, Federal, $38,776,000, Inter-agency, $115,000, Other, $598,000, Total: $53,128,000</w:t>
      </w:r>
    </w:p>
    <w:p w:rsidR="00C77A71" w:rsidRDefault="00C77A71" w:rsidP="00C77A71">
      <w:pPr>
        <w:sectPr w:rsidR="00C77A71" w:rsidSect="008B4E38">
          <w:footerReference w:type="default" r:id="rId21"/>
          <w:pgSz w:w="12240" w:h="15840"/>
          <w:pgMar w:top="720" w:right="720" w:bottom="720" w:left="720" w:header="720" w:footer="720" w:gutter="0"/>
          <w:cols w:space="720"/>
          <w:noEndnote/>
        </w:sectPr>
      </w:pPr>
      <w:r>
        <w:t>Oklahoma School for the Blind, State, $6,833,000, Federal, $0, Inter-agency, $450,000, Other, $61,000, Total: $7,344,000</w:t>
      </w:r>
    </w:p>
    <w:p w:rsidR="00C77A71" w:rsidRDefault="00C77A71" w:rsidP="000E24FC">
      <w:r>
        <w:lastRenderedPageBreak/>
        <w:t xml:space="preserve">Oklahoma School for the </w:t>
      </w:r>
      <w:r w:rsidR="000E24FC">
        <w:t>Deaf</w:t>
      </w:r>
      <w:r>
        <w:t xml:space="preserve">, State, </w:t>
      </w:r>
      <w:r w:rsidR="000E24FC">
        <w:t>$8,277,000</w:t>
      </w:r>
      <w:r>
        <w:t>, Federal, $0, Inter-agency, $</w:t>
      </w:r>
      <w:r w:rsidR="000E24FC">
        <w:t>327</w:t>
      </w:r>
      <w:r>
        <w:t>,000, Other, $</w:t>
      </w:r>
      <w:r w:rsidR="000E24FC">
        <w:t>317</w:t>
      </w:r>
      <w:r>
        <w:t>,000, Total: $</w:t>
      </w:r>
      <w:r w:rsidR="000E24FC">
        <w:t>8</w:t>
      </w:r>
      <w:r>
        <w:t>,</w:t>
      </w:r>
      <w:r w:rsidR="000E24FC">
        <w:t>921</w:t>
      </w:r>
      <w:r>
        <w:t>,000</w:t>
      </w:r>
    </w:p>
    <w:p w:rsidR="000E24FC" w:rsidRDefault="000E24FC" w:rsidP="000E24FC">
      <w:r>
        <w:t>Disability Determination Services, State, $109,000, Federal, $41,134,000, Inter-agency, $0, Other, $0, Total: $41,243,000</w:t>
      </w:r>
    </w:p>
    <w:p w:rsidR="000E24FC" w:rsidRDefault="000E24FC" w:rsidP="000E24FC">
      <w:r>
        <w:t>Support Services, State $2,192,000, Federal, $6,038,000, Inter-agency, $503,000, Other, $9,000, Total: $8,742,000</w:t>
      </w:r>
    </w:p>
    <w:p w:rsidR="0010030B" w:rsidRDefault="000E24FC" w:rsidP="000E24FC">
      <w:pPr>
        <w:sectPr w:rsidR="0010030B" w:rsidSect="008B4E38">
          <w:footerReference w:type="default" r:id="rId22"/>
          <w:pgSz w:w="12240" w:h="15840"/>
          <w:pgMar w:top="720" w:right="720" w:bottom="720" w:left="720" w:header="720" w:footer="720" w:gutter="0"/>
          <w:cols w:space="720"/>
          <w:noEndnote/>
        </w:sectPr>
      </w:pPr>
      <w:r>
        <w:t>Total, State $31,050,000, Federal, $85,948,000, Inter-agency, $1,395,000, Other, $985,000, Total: $</w:t>
      </w:r>
      <w:r w:rsidR="0010030B">
        <w:t>119,378,000</w:t>
      </w:r>
      <w:r w:rsidR="00817586">
        <w:t>.</w:t>
      </w:r>
    </w:p>
    <w:p w:rsidR="004931D8" w:rsidRDefault="004931D8" w:rsidP="004931D8">
      <w:r>
        <w:lastRenderedPageBreak/>
        <w:t>Vocational Rehabilitation</w:t>
      </w:r>
    </w:p>
    <w:p w:rsidR="004931D8" w:rsidRDefault="004931D8" w:rsidP="004931D8">
      <w:r>
        <w:t>Vocational Rehabilitation services help Oklahomans with disabilities live independently, get jobs and become taxpayers. Thousands of people whose disabilities were barriers to employment become taxpayers every year, eliminating or reducing the need for disability benefits and social assistance.</w:t>
      </w:r>
    </w:p>
    <w:p w:rsidR="000E24FC" w:rsidRDefault="004931D8" w:rsidP="004931D8">
      <w:r>
        <w:t>Photo: Man wearing glass and dark suit.</w:t>
      </w:r>
    </w:p>
    <w:p w:rsidR="004931D8" w:rsidRDefault="004931D8" w:rsidP="004931D8">
      <w:r>
        <w:t>Vocational Rehabilitation Administrator Mark Kinnison</w:t>
      </w:r>
    </w:p>
    <w:p w:rsidR="004931D8" w:rsidRPr="004931D8" w:rsidRDefault="004931D8" w:rsidP="004931D8">
      <w:r w:rsidRPr="004931D8">
        <w:t>Impact on Oklahomans in FY 2019</w:t>
      </w:r>
    </w:p>
    <w:p w:rsidR="004931D8" w:rsidRDefault="004931D8" w:rsidP="004931D8">
      <w:r>
        <w:t>13,936, Total number of Oklahomans who received Vocational Rehabilitation Services in FY 2019</w:t>
      </w:r>
    </w:p>
    <w:p w:rsidR="004931D8" w:rsidRDefault="004931D8" w:rsidP="004931D8">
      <w:proofErr w:type="gramStart"/>
      <w:r>
        <w:t>4,102</w:t>
      </w:r>
      <w:proofErr w:type="gramEnd"/>
      <w:r>
        <w:t>, Program applications made for VR services</w:t>
      </w:r>
    </w:p>
    <w:p w:rsidR="004931D8" w:rsidRDefault="004931D8" w:rsidP="004931D8">
      <w:proofErr w:type="gramStart"/>
      <w:r>
        <w:t>3,644</w:t>
      </w:r>
      <w:proofErr w:type="gramEnd"/>
      <w:r>
        <w:t>, Employment plans completed</w:t>
      </w:r>
    </w:p>
    <w:p w:rsidR="004931D8" w:rsidRDefault="004931D8" w:rsidP="004931D8">
      <w:proofErr w:type="gramStart"/>
      <w:r>
        <w:t>1,015</w:t>
      </w:r>
      <w:proofErr w:type="gramEnd"/>
      <w:r>
        <w:t>, Employment outcomes achieved</w:t>
      </w:r>
    </w:p>
    <w:p w:rsidR="004931D8" w:rsidRDefault="004931D8" w:rsidP="004931D8">
      <w:r>
        <w:t xml:space="preserve">$22,910, VR </w:t>
      </w:r>
      <w:proofErr w:type="gramStart"/>
      <w:r>
        <w:t>clients</w:t>
      </w:r>
      <w:proofErr w:type="gramEnd"/>
      <w:r>
        <w:t xml:space="preserve"> annual average yearly earnings</w:t>
      </w:r>
    </w:p>
    <w:p w:rsidR="004931D8" w:rsidRDefault="004931D8" w:rsidP="004931D8">
      <w:r>
        <w:t>$9,854, Average cost of services per VR client</w:t>
      </w:r>
    </w:p>
    <w:p w:rsidR="004931D8" w:rsidRDefault="004931D8" w:rsidP="004931D8">
      <w:pPr>
        <w:sectPr w:rsidR="004931D8" w:rsidSect="008B4E38">
          <w:footerReference w:type="default" r:id="rId23"/>
          <w:pgSz w:w="12240" w:h="15840"/>
          <w:pgMar w:top="720" w:right="720" w:bottom="720" w:left="720" w:header="720" w:footer="720" w:gutter="0"/>
          <w:cols w:space="720"/>
          <w:noEndnote/>
        </w:sectPr>
      </w:pPr>
      <w:r>
        <w:t>$3,437, Average yearly taxes paid by employed client (15% tax rate)</w:t>
      </w:r>
      <w:r w:rsidR="00817586">
        <w:t>.</w:t>
      </w:r>
    </w:p>
    <w:p w:rsidR="004931D8" w:rsidRDefault="004931D8" w:rsidP="004931D8">
      <w:r>
        <w:lastRenderedPageBreak/>
        <w:t>VR program helps Oklahomans move back into work force, become contributing taxpayers</w:t>
      </w:r>
    </w:p>
    <w:p w:rsidR="004931D8" w:rsidRPr="004931D8" w:rsidRDefault="004931D8" w:rsidP="004931D8">
      <w:r w:rsidRPr="004931D8">
        <w:t>Vocational Rehabilitation staff empower Oklahomans with disabilities to pursue achieving goals for an independent life through employment. Agency clients can become Oklahoma taxpayers, contributing to their state and reinforcing their own self-worth.</w:t>
      </w:r>
    </w:p>
    <w:p w:rsidR="004931D8" w:rsidRPr="004931D8" w:rsidRDefault="004931D8" w:rsidP="004931D8">
      <w:pPr>
        <w:rPr>
          <w:spacing w:val="-2"/>
        </w:rPr>
      </w:pPr>
      <w:r w:rsidRPr="004931D8">
        <w:rPr>
          <w:spacing w:val="-2"/>
        </w:rPr>
        <w:t xml:space="preserve">VR staff members are committed to removing barriers that prevent a person from working. They guide and counsel clients on employment goals and network with employers on behalf of people with disabilities. </w:t>
      </w:r>
    </w:p>
    <w:p w:rsidR="004931D8" w:rsidRPr="004931D8" w:rsidRDefault="004931D8" w:rsidP="004931D8">
      <w:pPr>
        <w:rPr>
          <w:spacing w:val="10"/>
        </w:rPr>
      </w:pPr>
      <w:r w:rsidRPr="004931D8">
        <w:rPr>
          <w:spacing w:val="10"/>
        </w:rPr>
        <w:t xml:space="preserve">In State Fiscal Year 2019, VR served 13,936 clients. This year, DRS saw 1,015 Oklahomans with physical or mental disabilities </w:t>
      </w:r>
      <w:proofErr w:type="gramStart"/>
      <w:r w:rsidRPr="004931D8">
        <w:rPr>
          <w:spacing w:val="10"/>
        </w:rPr>
        <w:t>become employed</w:t>
      </w:r>
      <w:proofErr w:type="gramEnd"/>
      <w:r w:rsidRPr="004931D8">
        <w:rPr>
          <w:spacing w:val="10"/>
        </w:rPr>
        <w:t xml:space="preserve"> with the average yearly earnings reaching $22,910.</w:t>
      </w:r>
    </w:p>
    <w:p w:rsidR="004931D8" w:rsidRDefault="004931D8" w:rsidP="004931D8">
      <w:pPr>
        <w:rPr>
          <w:spacing w:val="10"/>
        </w:rPr>
        <w:sectPr w:rsidR="004931D8" w:rsidSect="008B4E38">
          <w:footerReference w:type="default" r:id="rId24"/>
          <w:pgSz w:w="12240" w:h="15840"/>
          <w:pgMar w:top="720" w:right="720" w:bottom="720" w:left="720" w:header="720" w:footer="720" w:gutter="0"/>
          <w:cols w:space="720"/>
          <w:noEndnote/>
        </w:sectPr>
      </w:pPr>
      <w:r w:rsidRPr="004931D8">
        <w:rPr>
          <w:spacing w:val="10"/>
        </w:rPr>
        <w:t>These achievements are possible because of DRS services that include career counseling, vocational education and training, and medical services if it is determined it will help a client find employment. They may also receive assistive technology, job placement and coaching.</w:t>
      </w:r>
    </w:p>
    <w:p w:rsidR="004931D8" w:rsidRDefault="004931D8" w:rsidP="004931D8">
      <w:r w:rsidRPr="004931D8">
        <w:rPr>
          <w:spacing w:val="-5"/>
        </w:rPr>
        <w:lastRenderedPageBreak/>
        <w:t>When DRS clients who are</w:t>
      </w:r>
      <w:r w:rsidRPr="004931D8">
        <w:rPr>
          <w:spacing w:val="-5"/>
        </w:rPr>
        <w:br/>
        <w:t xml:space="preserve"> former Social Security benefit recipients reach the nine-month work anniversary, the Social Security Administration reimburses DRS a portion of the cost of the services to get that person into the work force. These services build both people’s self-respect and the state’s </w:t>
      </w:r>
      <w:r w:rsidRPr="004931D8">
        <w:t>available work force.</w:t>
      </w:r>
    </w:p>
    <w:p w:rsidR="004931D8" w:rsidRDefault="004931D8" w:rsidP="004931D8">
      <w:pPr>
        <w:sectPr w:rsidR="004931D8" w:rsidSect="008B4E38">
          <w:footerReference w:type="default" r:id="rId25"/>
          <w:pgSz w:w="12240" w:h="15840"/>
          <w:pgMar w:top="720" w:right="720" w:bottom="720" w:left="720" w:header="720" w:footer="720" w:gutter="0"/>
          <w:cols w:space="720"/>
          <w:noEndnote/>
        </w:sectPr>
      </w:pPr>
      <w:r>
        <w:t>Photo: Woman in medical scrubs</w:t>
      </w:r>
      <w:r w:rsidR="00817586">
        <w:t>.</w:t>
      </w:r>
    </w:p>
    <w:p w:rsidR="004931D8" w:rsidRDefault="004931D8" w:rsidP="004931D8">
      <w:r>
        <w:lastRenderedPageBreak/>
        <w:t>Vocational Rehabilitation</w:t>
      </w:r>
    </w:p>
    <w:p w:rsidR="004931D8" w:rsidRDefault="004931D8" w:rsidP="004931D8">
      <w:r>
        <w:t>DRS helped man build playbook for independent future</w:t>
      </w:r>
    </w:p>
    <w:p w:rsidR="004931D8" w:rsidRPr="004931D8" w:rsidRDefault="004931D8" w:rsidP="004931D8">
      <w:r>
        <w:t xml:space="preserve">Photo: </w:t>
      </w:r>
      <w:r w:rsidRPr="004931D8">
        <w:t xml:space="preserve">Man sitting in football stadium bleachers at Panhandle State University in </w:t>
      </w:r>
      <w:proofErr w:type="spellStart"/>
      <w:r w:rsidRPr="004931D8">
        <w:t>Goodwell</w:t>
      </w:r>
      <w:proofErr w:type="spellEnd"/>
      <w:r w:rsidRPr="004931D8">
        <w:t>, Oklahoma.</w:t>
      </w:r>
    </w:p>
    <w:p w:rsidR="004931D8" w:rsidRPr="004931D8" w:rsidRDefault="004931D8" w:rsidP="004931D8">
      <w:r w:rsidRPr="004931D8">
        <w:t>Vocational Rehabilitation staff helped Linden Robertson tackle life.</w:t>
      </w:r>
    </w:p>
    <w:p w:rsidR="004931D8" w:rsidRPr="004931D8" w:rsidRDefault="004931D8" w:rsidP="004931D8">
      <w:r w:rsidRPr="004931D8">
        <w:t>Robertson’s future was once uncertain. He and his family fled from New Orleans in the wake of Hurricane Katrina in 2005.</w:t>
      </w:r>
    </w:p>
    <w:p w:rsidR="004931D8" w:rsidRPr="004931D8" w:rsidRDefault="004931D8" w:rsidP="004931D8">
      <w:r w:rsidRPr="004931D8">
        <w:t xml:space="preserve">His family settled in Arlington, Texas, but he traveled north of the Red River when he received a full-ride football scholarship to Oklahoma Panhandle State University in </w:t>
      </w:r>
      <w:proofErr w:type="spellStart"/>
      <w:r w:rsidRPr="004931D8">
        <w:t>Goodwell</w:t>
      </w:r>
      <w:proofErr w:type="spellEnd"/>
      <w:r w:rsidRPr="004931D8">
        <w:t xml:space="preserve">. </w:t>
      </w:r>
    </w:p>
    <w:p w:rsidR="00054A3C" w:rsidRDefault="004931D8" w:rsidP="004931D8">
      <w:pPr>
        <w:sectPr w:rsidR="00054A3C" w:rsidSect="008B4E38">
          <w:footerReference w:type="default" r:id="rId26"/>
          <w:pgSz w:w="12240" w:h="15840"/>
          <w:pgMar w:top="720" w:right="720" w:bottom="720" w:left="720" w:header="720" w:footer="720" w:gutter="0"/>
          <w:cols w:space="720"/>
          <w:noEndnote/>
        </w:sectPr>
      </w:pPr>
      <w:r w:rsidRPr="004931D8">
        <w:t xml:space="preserve">Robertson, 25, has dyslexia and </w:t>
      </w:r>
      <w:proofErr w:type="gramStart"/>
      <w:r w:rsidRPr="004931D8">
        <w:t>was referred</w:t>
      </w:r>
      <w:proofErr w:type="gramEnd"/>
      <w:r w:rsidRPr="004931D8">
        <w:t xml:space="preserve"> to DRS as a college sophomore. His mother, Linda Robertson, was familiar with the Oklahoma agency’s work through her job with Disability Rights Texas, an agency that serves children, adults and families with disabilities and partners with Texas Department of Rehabilitative Services.</w:t>
      </w:r>
    </w:p>
    <w:p w:rsidR="004931D8" w:rsidRPr="004931D8" w:rsidRDefault="004931D8" w:rsidP="004931D8">
      <w:r w:rsidRPr="004931D8">
        <w:lastRenderedPageBreak/>
        <w:t>His VR counselor, Carol Holland, provided career planning and assisted with education expenses not paid by his scholarship, including tuition, books, fees, supplies, housing and meal tickets. She arranged appointments with a specialist for an evaluation and follow-up to a magnetic resonance imaging (MRI) scan for a knee impairment.</w:t>
      </w:r>
    </w:p>
    <w:p w:rsidR="004931D8" w:rsidRPr="004931D8" w:rsidRDefault="004931D8" w:rsidP="004931D8">
      <w:r w:rsidRPr="004931D8">
        <w:t>“Carol Holland from VR focused on my skill development and utilized all the assistance available to me through VR like academic assistance, reading comprehension skills and meeting with professional educators to help develop my academic competence and my confidence,” Robertson said.</w:t>
      </w:r>
    </w:p>
    <w:p w:rsidR="004931D8" w:rsidRPr="004931D8" w:rsidRDefault="004931D8" w:rsidP="004931D8">
      <w:r w:rsidRPr="004931D8">
        <w:t>“And thanks to DRS, I will end up finishing school and not have much debt, thanks to the help I received.”</w:t>
      </w:r>
    </w:p>
    <w:p w:rsidR="00054A3C" w:rsidRDefault="004931D8" w:rsidP="004931D8">
      <w:pPr>
        <w:sectPr w:rsidR="00054A3C" w:rsidSect="008B4E38">
          <w:footerReference w:type="default" r:id="rId27"/>
          <w:pgSz w:w="12240" w:h="15840"/>
          <w:pgMar w:top="720" w:right="720" w:bottom="720" w:left="720" w:header="720" w:footer="720" w:gutter="0"/>
          <w:cols w:space="720"/>
          <w:noEndnote/>
        </w:sectPr>
      </w:pPr>
      <w:r w:rsidRPr="004931D8">
        <w:t>The path mapped out for him led to a job with DHL, a logistics company specializing in international shipping, courier services and transportation. He began training as an inbound and outbound shipping lead.</w:t>
      </w:r>
    </w:p>
    <w:p w:rsidR="004931D8" w:rsidRPr="004931D8" w:rsidRDefault="004931D8" w:rsidP="004931D8">
      <w:r w:rsidRPr="004931D8">
        <w:lastRenderedPageBreak/>
        <w:t xml:space="preserve">Robertson’s experience with DRS led him to encourage others with disabilities to seek out its services.  </w:t>
      </w:r>
    </w:p>
    <w:p w:rsidR="004931D8" w:rsidRDefault="004931D8" w:rsidP="004931D8">
      <w:r w:rsidRPr="004931D8">
        <w:t xml:space="preserve">“I would tell them if you are sulking in your struggles, reach out,” he said. “Someone is there to help you and would like to see you do better for yourself. </w:t>
      </w:r>
      <w:proofErr w:type="gramStart"/>
      <w:r w:rsidRPr="004931D8">
        <w:t>Don’t</w:t>
      </w:r>
      <w:proofErr w:type="gramEnd"/>
      <w:r w:rsidRPr="004931D8">
        <w:t xml:space="preserve"> think you are in this alone. There’s always fun to be had, lots of adventures, new challenges, and there’s always a new day.”</w:t>
      </w:r>
    </w:p>
    <w:p w:rsidR="004931D8" w:rsidRDefault="004931D8" w:rsidP="004931D8"/>
    <w:p w:rsidR="004931D8" w:rsidRPr="004931D8" w:rsidRDefault="004931D8" w:rsidP="004931D8">
      <w:pPr>
        <w:sectPr w:rsidR="004931D8" w:rsidRPr="004931D8" w:rsidSect="008B4E38">
          <w:footerReference w:type="default" r:id="rId28"/>
          <w:pgSz w:w="12240" w:h="15840"/>
          <w:pgMar w:top="720" w:right="720" w:bottom="720" w:left="720" w:header="720" w:footer="720" w:gutter="0"/>
          <w:cols w:space="720"/>
          <w:noEndnote/>
        </w:sectPr>
      </w:pPr>
    </w:p>
    <w:p w:rsidR="00054A3C" w:rsidRDefault="00054A3C" w:rsidP="00054A3C">
      <w:r>
        <w:lastRenderedPageBreak/>
        <w:t xml:space="preserve">Transition: School to Work </w:t>
      </w:r>
    </w:p>
    <w:p w:rsidR="00054A3C" w:rsidRDefault="00054A3C" w:rsidP="00054A3C">
      <w:r>
        <w:t xml:space="preserve">Program paves way for Oklahoma youth </w:t>
      </w:r>
      <w:proofErr w:type="gramStart"/>
      <w:r>
        <w:t>to successfully reach</w:t>
      </w:r>
      <w:proofErr w:type="gramEnd"/>
      <w:r>
        <w:t xml:space="preserve"> their career, life goals</w:t>
      </w:r>
    </w:p>
    <w:p w:rsidR="004931D8" w:rsidRDefault="00054A3C" w:rsidP="004931D8">
      <w:r>
        <w:t xml:space="preserve">Photo: </w:t>
      </w:r>
      <w:r w:rsidRPr="00054A3C">
        <w:t xml:space="preserve">Young </w:t>
      </w:r>
      <w:proofErr w:type="gramStart"/>
      <w:r w:rsidRPr="00054A3C">
        <w:t>man</w:t>
      </w:r>
      <w:proofErr w:type="gramEnd"/>
      <w:r w:rsidRPr="00054A3C">
        <w:t xml:space="preserve"> working in food service.</w:t>
      </w:r>
    </w:p>
    <w:p w:rsidR="00054A3C" w:rsidRPr="00054A3C" w:rsidRDefault="00054A3C" w:rsidP="00054A3C">
      <w:r w:rsidRPr="00054A3C">
        <w:t xml:space="preserve">DRS’ Transition program can help Oklahoma youth with disabilities begin building a foundation for a fulfilling life after high school, offering opportunities including education, training and work experience. </w:t>
      </w:r>
    </w:p>
    <w:p w:rsidR="00054A3C" w:rsidRPr="00054A3C" w:rsidRDefault="00054A3C" w:rsidP="00054A3C">
      <w:r w:rsidRPr="00054A3C">
        <w:t xml:space="preserve">Transition services are available through counselors in the Divisions of Vocational Rehabilitation and Services for the Blind and Visually Impaired. They </w:t>
      </w:r>
      <w:proofErr w:type="gramStart"/>
      <w:r w:rsidRPr="00054A3C">
        <w:t>are assigned</w:t>
      </w:r>
      <w:proofErr w:type="gramEnd"/>
      <w:r w:rsidRPr="00054A3C">
        <w:t xml:space="preserve"> to high schools across the state, and counseling services they offer may include:</w:t>
      </w:r>
    </w:p>
    <w:p w:rsidR="00054A3C" w:rsidRPr="00054A3C" w:rsidRDefault="00054A3C" w:rsidP="00054A3C">
      <w:r w:rsidRPr="00054A3C">
        <w:rPr>
          <w:bCs/>
        </w:rPr>
        <w:t>Vocational counseling and guidance</w:t>
      </w:r>
      <w:r w:rsidRPr="00054A3C">
        <w:rPr>
          <w:b/>
          <w:bCs/>
        </w:rPr>
        <w:t>:</w:t>
      </w:r>
      <w:r>
        <w:t xml:space="preserve"> </w:t>
      </w:r>
      <w:r w:rsidRPr="00054A3C">
        <w:t>DRS counselors assist teachers, parents and students in developing appropriate career goals.</w:t>
      </w:r>
    </w:p>
    <w:p w:rsidR="00054A3C" w:rsidRDefault="00054A3C" w:rsidP="00054A3C">
      <w:pPr>
        <w:sectPr w:rsidR="00054A3C" w:rsidSect="008B4E38">
          <w:footerReference w:type="default" r:id="rId29"/>
          <w:pgSz w:w="12240" w:h="15840"/>
          <w:pgMar w:top="720" w:right="720" w:bottom="720" w:left="720" w:header="720" w:footer="720" w:gutter="0"/>
          <w:cols w:space="720"/>
          <w:noEndnote/>
        </w:sectPr>
      </w:pPr>
      <w:r w:rsidRPr="00054A3C">
        <w:rPr>
          <w:bCs/>
        </w:rPr>
        <w:t>Vocational assessment and evaluation:</w:t>
      </w:r>
      <w:r w:rsidRPr="00054A3C">
        <w:t xml:space="preserve"> DRS’ staff help to determine students’ employment-related strengths and interests, and provide recommended career fields to investigate.</w:t>
      </w:r>
    </w:p>
    <w:p w:rsidR="00054A3C" w:rsidRPr="00054A3C" w:rsidRDefault="00054A3C" w:rsidP="00054A3C">
      <w:r w:rsidRPr="00054A3C">
        <w:rPr>
          <w:bCs/>
        </w:rPr>
        <w:lastRenderedPageBreak/>
        <w:t>School Work-Study:</w:t>
      </w:r>
      <w:r>
        <w:t xml:space="preserve"> </w:t>
      </w:r>
      <w:r w:rsidRPr="00054A3C">
        <w:t>Through contracts with the schools, DRS Transition provides job readiness skills training through work experience at the school district or in the community, while earning a minimum wage and school credits.</w:t>
      </w:r>
    </w:p>
    <w:p w:rsidR="00054A3C" w:rsidRPr="00054A3C" w:rsidRDefault="00054A3C" w:rsidP="00054A3C">
      <w:r w:rsidRPr="00054A3C">
        <w:rPr>
          <w:bCs/>
        </w:rPr>
        <w:t>Work Adjustment Training</w:t>
      </w:r>
      <w:r w:rsidRPr="00054A3C">
        <w:rPr>
          <w:b/>
          <w:bCs/>
        </w:rPr>
        <w:t xml:space="preserve">: </w:t>
      </w:r>
      <w:r w:rsidRPr="00054A3C">
        <w:t xml:space="preserve">This training </w:t>
      </w:r>
      <w:proofErr w:type="gramStart"/>
      <w:r w:rsidRPr="00054A3C">
        <w:t>is provided</w:t>
      </w:r>
      <w:proofErr w:type="gramEnd"/>
      <w:r w:rsidRPr="00054A3C">
        <w:t xml:space="preserve"> through contracts with the schools or from community-based facilities, and provides students with foundational employment skills to help them prepare for competitive, integrated employment after high school.</w:t>
      </w:r>
    </w:p>
    <w:p w:rsidR="00054A3C" w:rsidRPr="00054A3C" w:rsidRDefault="00054A3C" w:rsidP="00054A3C">
      <w:r w:rsidRPr="00054A3C">
        <w:rPr>
          <w:bCs/>
        </w:rPr>
        <w:t>On-the-Job Training:</w:t>
      </w:r>
      <w:r w:rsidRPr="00054A3C">
        <w:t xml:space="preserve"> This program provides students the opportunity (during the second semester of their senior year) to obtain community employment in their career of choice with permanent employment as a goal.</w:t>
      </w:r>
    </w:p>
    <w:p w:rsidR="00054A3C" w:rsidRDefault="00054A3C" w:rsidP="00054A3C">
      <w:pPr>
        <w:sectPr w:rsidR="00054A3C" w:rsidSect="008B4E38">
          <w:footerReference w:type="default" r:id="rId30"/>
          <w:pgSz w:w="12240" w:h="15840"/>
          <w:pgMar w:top="720" w:right="720" w:bottom="720" w:left="720" w:header="720" w:footer="720" w:gutter="0"/>
          <w:cols w:space="720"/>
          <w:noEndnote/>
        </w:sectPr>
      </w:pPr>
      <w:r w:rsidRPr="00054A3C">
        <w:rPr>
          <w:bCs/>
        </w:rPr>
        <w:t>Supported Employment:</w:t>
      </w:r>
      <w:r w:rsidRPr="00054A3C">
        <w:t xml:space="preserve"> This program helps students in their senior year transition into permanent employment with supports from a job coach to search for employment, apply, prepare for the interview, </w:t>
      </w:r>
      <w:proofErr w:type="gramStart"/>
      <w:r w:rsidRPr="00054A3C">
        <w:t>learn</w:t>
      </w:r>
      <w:proofErr w:type="gramEnd"/>
      <w:r w:rsidRPr="00054A3C">
        <w:t xml:space="preserve"> the job and work toward independence on the job.</w:t>
      </w:r>
    </w:p>
    <w:p w:rsidR="00054A3C" w:rsidRPr="00054A3C" w:rsidRDefault="00054A3C" w:rsidP="00054A3C">
      <w:r w:rsidRPr="00054A3C">
        <w:lastRenderedPageBreak/>
        <w:t>Job development and placement specialists help students make job searches more successful by helping them identify their interests and strengths, and finding possible businesses with job openings.</w:t>
      </w:r>
    </w:p>
    <w:p w:rsidR="00054A3C" w:rsidRDefault="00054A3C" w:rsidP="00054A3C">
      <w:r w:rsidRPr="00054A3C">
        <w:t xml:space="preserve">After graduation, DRS counselors and students continue to work toward vocational and employment goals. Some services are available to all eligible individuals without charge. At this point, individuals </w:t>
      </w:r>
      <w:proofErr w:type="gramStart"/>
      <w:r w:rsidRPr="00054A3C">
        <w:t>may be asked</w:t>
      </w:r>
      <w:proofErr w:type="gramEnd"/>
      <w:r w:rsidRPr="00054A3C">
        <w:t xml:space="preserve"> to share the cost of some services, depending on income and financial resources.</w:t>
      </w:r>
    </w:p>
    <w:p w:rsidR="00054A3C" w:rsidRDefault="00054A3C" w:rsidP="00054A3C">
      <w:proofErr w:type="gramStart"/>
      <w:r>
        <w:t>919</w:t>
      </w:r>
      <w:proofErr w:type="gramEnd"/>
      <w:r>
        <w:t xml:space="preserve"> Oklahoma students served in Fiscal Year 2019</w:t>
      </w:r>
    </w:p>
    <w:p w:rsidR="00054A3C" w:rsidRDefault="00054A3C" w:rsidP="00054A3C">
      <w:r>
        <w:t>$1,528,098 Cost of DRS Transition services</w:t>
      </w:r>
    </w:p>
    <w:p w:rsidR="00054A3C" w:rsidRDefault="00054A3C" w:rsidP="00054A3C">
      <w:pPr>
        <w:sectPr w:rsidR="00054A3C" w:rsidSect="008B4E38">
          <w:footerReference w:type="default" r:id="rId31"/>
          <w:pgSz w:w="12240" w:h="15840"/>
          <w:pgMar w:top="720" w:right="720" w:bottom="720" w:left="720" w:header="720" w:footer="720" w:gutter="0"/>
          <w:cols w:space="720"/>
          <w:noEndnote/>
        </w:sectPr>
      </w:pPr>
      <w:proofErr w:type="gramStart"/>
      <w:r>
        <w:t>436</w:t>
      </w:r>
      <w:proofErr w:type="gramEnd"/>
      <w:r>
        <w:t xml:space="preserve"> State youth receiving pre-employment Transition services</w:t>
      </w:r>
      <w:r w:rsidR="00817586">
        <w:t>.</w:t>
      </w:r>
    </w:p>
    <w:p w:rsidR="00054A3C" w:rsidRDefault="00054A3C" w:rsidP="00054A3C">
      <w:r>
        <w:lastRenderedPageBreak/>
        <w:t>Services for the Blind and Visually Impaired</w:t>
      </w:r>
    </w:p>
    <w:p w:rsidR="00054A3C" w:rsidRDefault="00054A3C" w:rsidP="00054A3C">
      <w:r>
        <w:t>Services for the Blind and Visually Impaired staff work each day to open doors to employment and independence. Oklahomans are eligible for services if their disability makes it difficult to work and must be able to benefit from services that will help them return to work.</w:t>
      </w:r>
    </w:p>
    <w:p w:rsidR="00054A3C" w:rsidRDefault="00054A3C" w:rsidP="00054A3C">
      <w:r>
        <w:t xml:space="preserve">Photo: </w:t>
      </w:r>
      <w:r w:rsidRPr="00054A3C">
        <w:t>Woman smiling with tan jacket.</w:t>
      </w:r>
    </w:p>
    <w:p w:rsidR="00054A3C" w:rsidRDefault="00054A3C" w:rsidP="00054A3C">
      <w:r>
        <w:t>Impact on Oklahomans in FY 2019</w:t>
      </w:r>
    </w:p>
    <w:p w:rsidR="00054A3C" w:rsidRDefault="00054A3C" w:rsidP="00054A3C">
      <w:proofErr w:type="gramStart"/>
      <w:r>
        <w:t>1,289</w:t>
      </w:r>
      <w:proofErr w:type="gramEnd"/>
      <w:r>
        <w:t xml:space="preserve"> Total number of Oklahomans who received SBVI Services in FY 2019</w:t>
      </w:r>
    </w:p>
    <w:p w:rsidR="00054A3C" w:rsidRDefault="00054A3C" w:rsidP="00054A3C">
      <w:proofErr w:type="gramStart"/>
      <w:r>
        <w:t>322</w:t>
      </w:r>
      <w:proofErr w:type="gramEnd"/>
      <w:r>
        <w:t xml:space="preserve"> Program applications made for SBVI services</w:t>
      </w:r>
    </w:p>
    <w:p w:rsidR="00054A3C" w:rsidRDefault="00054A3C" w:rsidP="00054A3C">
      <w:proofErr w:type="gramStart"/>
      <w:r w:rsidRPr="00054A3C">
        <w:t>320</w:t>
      </w:r>
      <w:proofErr w:type="gramEnd"/>
      <w:r w:rsidRPr="00054A3C">
        <w:t xml:space="preserve"> Employment</w:t>
      </w:r>
      <w:r>
        <w:t xml:space="preserve"> plans completed</w:t>
      </w:r>
    </w:p>
    <w:p w:rsidR="00054A3C" w:rsidRDefault="00054A3C" w:rsidP="00054A3C">
      <w:proofErr w:type="gramStart"/>
      <w:r w:rsidRPr="00054A3C">
        <w:t>100</w:t>
      </w:r>
      <w:proofErr w:type="gramEnd"/>
      <w:r w:rsidRPr="00054A3C">
        <w:t xml:space="preserve"> </w:t>
      </w:r>
      <w:r>
        <w:t>Employment outcomes achieved</w:t>
      </w:r>
    </w:p>
    <w:p w:rsidR="00054A3C" w:rsidRDefault="00054A3C" w:rsidP="00054A3C">
      <w:r>
        <w:t xml:space="preserve">$28,478 SBVI </w:t>
      </w:r>
      <w:proofErr w:type="gramStart"/>
      <w:r>
        <w:t>clients</w:t>
      </w:r>
      <w:proofErr w:type="gramEnd"/>
      <w:r>
        <w:t xml:space="preserve"> annual average yearly earnings</w:t>
      </w:r>
    </w:p>
    <w:p w:rsidR="00054A3C" w:rsidRDefault="00054A3C" w:rsidP="00054A3C">
      <w:r>
        <w:t>$13,089 Average cost of services per SBVI client</w:t>
      </w:r>
    </w:p>
    <w:p w:rsidR="004C3549" w:rsidRDefault="004C3549" w:rsidP="004C3549">
      <w:pPr>
        <w:sectPr w:rsidR="004C3549" w:rsidSect="008B4E38">
          <w:footerReference w:type="default" r:id="rId32"/>
          <w:pgSz w:w="12240" w:h="15840"/>
          <w:pgMar w:top="720" w:right="720" w:bottom="720" w:left="720" w:header="720" w:footer="720" w:gutter="0"/>
          <w:cols w:space="720"/>
          <w:noEndnote/>
        </w:sectPr>
      </w:pPr>
      <w:r>
        <w:t>$4,272 Average yearly taxes paid by employed client (15% tax rate)</w:t>
      </w:r>
      <w:r w:rsidR="00817586">
        <w:t>.</w:t>
      </w:r>
    </w:p>
    <w:p w:rsidR="004C3549" w:rsidRPr="004C3549" w:rsidRDefault="004C3549" w:rsidP="004C3549">
      <w:r>
        <w:lastRenderedPageBreak/>
        <w:t xml:space="preserve">Photo: </w:t>
      </w:r>
      <w:r w:rsidRPr="004C3549">
        <w:t>Group of people using canes to walk in downtown Oklahoma City.</w:t>
      </w:r>
    </w:p>
    <w:p w:rsidR="004C3549" w:rsidRDefault="004C3549" w:rsidP="004C3549">
      <w:r>
        <w:t>SBVI services offers training that allows Oklahomans to navigate home, workplace</w:t>
      </w:r>
    </w:p>
    <w:p w:rsidR="004C3549" w:rsidRPr="004C3549" w:rsidRDefault="004C3549" w:rsidP="004C3549">
      <w:r w:rsidRPr="004C3549">
        <w:t>Oklahomans who are blind or visually impaired can lead independent lives, pursue careers and become contributing taxpayers through programs provided by DRS’ Services for the Blind and Visually Impaired.</w:t>
      </w:r>
    </w:p>
    <w:p w:rsidR="004C3549" w:rsidRPr="004C3549" w:rsidRDefault="004C3549" w:rsidP="004C3549">
      <w:r w:rsidRPr="004C3549">
        <w:t xml:space="preserve">SBVI’s vocational rehabilitation process puts clients on the path to employment through career counseling; vocational education and training; medical services required to become employable; and assistive technology geared to their specific needs and job placement. </w:t>
      </w:r>
    </w:p>
    <w:p w:rsidR="004C3549" w:rsidRDefault="004C3549" w:rsidP="004C3549">
      <w:pPr>
        <w:sectPr w:rsidR="004C3549" w:rsidSect="008B4E38">
          <w:footerReference w:type="default" r:id="rId33"/>
          <w:pgSz w:w="12240" w:h="15840"/>
          <w:pgMar w:top="720" w:right="720" w:bottom="720" w:left="720" w:header="720" w:footer="720" w:gutter="0"/>
          <w:cols w:space="720"/>
          <w:noEndnote/>
        </w:sectPr>
      </w:pPr>
      <w:r w:rsidRPr="004C3549">
        <w:t>Clients are eligible for the vocational rehabilitation program if their disability makes it difficult to work. They must be able to benefit from vocational rehabilitation services, which prepare clients for employment.</w:t>
      </w:r>
    </w:p>
    <w:p w:rsidR="004C3549" w:rsidRPr="004C3549" w:rsidRDefault="004C3549" w:rsidP="004C3549">
      <w:r w:rsidRPr="004C3549">
        <w:lastRenderedPageBreak/>
        <w:t>Legal blindness occurs when visual acuity with best correction is 20/200 or less or when side vision results in a field restriction of 20 degrees or less.</w:t>
      </w:r>
    </w:p>
    <w:p w:rsidR="00054A3C" w:rsidRDefault="004C3549" w:rsidP="004C3549">
      <w:r w:rsidRPr="004C3549">
        <w:t xml:space="preserve">Many clients receive living skills training that allows them to navigate their environments, operate computers, </w:t>
      </w:r>
      <w:proofErr w:type="gramStart"/>
      <w:r w:rsidRPr="004C3549">
        <w:t>manage</w:t>
      </w:r>
      <w:proofErr w:type="gramEnd"/>
      <w:r w:rsidRPr="004C3549">
        <w:t xml:space="preserve"> money and much more. With these skills, people who are blind or visually impaired often feel ready to compete in the work place.</w:t>
      </w:r>
    </w:p>
    <w:p w:rsidR="004C3549" w:rsidRDefault="004C3549" w:rsidP="004C3549">
      <w:pPr>
        <w:sectPr w:rsidR="004C3549" w:rsidSect="008B4E38">
          <w:footerReference w:type="default" r:id="rId34"/>
          <w:pgSz w:w="12240" w:h="15840"/>
          <w:pgMar w:top="720" w:right="720" w:bottom="720" w:left="720" w:header="720" w:footer="720" w:gutter="0"/>
          <w:cols w:space="720"/>
          <w:noEndnote/>
        </w:sectPr>
      </w:pPr>
      <w:r>
        <w:t>SBVI, Continued Page 11</w:t>
      </w:r>
    </w:p>
    <w:p w:rsidR="004C3549" w:rsidRDefault="004C3549" w:rsidP="004C3549">
      <w:r>
        <w:lastRenderedPageBreak/>
        <w:t>Services for the Blind and Visually Impaired</w:t>
      </w:r>
    </w:p>
    <w:p w:rsidR="004C3549" w:rsidRDefault="004C3549" w:rsidP="004C3549">
      <w:r>
        <w:t>SBVI, From Page 10</w:t>
      </w:r>
    </w:p>
    <w:p w:rsidR="004C3549" w:rsidRPr="004C3549" w:rsidRDefault="004C3549" w:rsidP="004C3549">
      <w:r w:rsidRPr="004C3549">
        <w:t xml:space="preserve">SBVI services can include, but are not limited </w:t>
      </w:r>
      <w:proofErr w:type="gramStart"/>
      <w:r w:rsidRPr="004C3549">
        <w:t>to</w:t>
      </w:r>
      <w:proofErr w:type="gramEnd"/>
      <w:r w:rsidRPr="004C3549">
        <w:t xml:space="preserve">: </w:t>
      </w:r>
    </w:p>
    <w:p w:rsidR="004C3549" w:rsidRPr="004C3549" w:rsidRDefault="004C3549" w:rsidP="004C3549">
      <w:pPr>
        <w:pStyle w:val="ListParagraph"/>
        <w:numPr>
          <w:ilvl w:val="0"/>
          <w:numId w:val="2"/>
        </w:numPr>
      </w:pPr>
      <w:r w:rsidRPr="004C3549">
        <w:t xml:space="preserve">Physical or mental restoration; </w:t>
      </w:r>
    </w:p>
    <w:p w:rsidR="004C3549" w:rsidRPr="004C3549" w:rsidRDefault="004C3549" w:rsidP="004C3549">
      <w:pPr>
        <w:pStyle w:val="ListParagraph"/>
        <w:numPr>
          <w:ilvl w:val="0"/>
          <w:numId w:val="2"/>
        </w:numPr>
      </w:pPr>
      <w:r w:rsidRPr="004C3549">
        <w:t>Mobility training;</w:t>
      </w:r>
    </w:p>
    <w:p w:rsidR="004C3549" w:rsidRPr="004C3549" w:rsidRDefault="004C3549" w:rsidP="004C3549">
      <w:pPr>
        <w:pStyle w:val="ListParagraph"/>
        <w:numPr>
          <w:ilvl w:val="0"/>
          <w:numId w:val="2"/>
        </w:numPr>
      </w:pPr>
      <w:r w:rsidRPr="004C3549">
        <w:t xml:space="preserve">Vocational, college or other training; </w:t>
      </w:r>
    </w:p>
    <w:p w:rsidR="004C3549" w:rsidRPr="004C3549" w:rsidRDefault="004C3549" w:rsidP="004C3549">
      <w:pPr>
        <w:pStyle w:val="ListParagraph"/>
        <w:numPr>
          <w:ilvl w:val="0"/>
          <w:numId w:val="2"/>
        </w:numPr>
      </w:pPr>
      <w:r w:rsidRPr="004C3549">
        <w:t xml:space="preserve">Assistive technology evaluations, equipment and training; </w:t>
      </w:r>
    </w:p>
    <w:p w:rsidR="004C3549" w:rsidRPr="004C3549" w:rsidRDefault="004C3549" w:rsidP="004C3549">
      <w:pPr>
        <w:pStyle w:val="ListParagraph"/>
        <w:numPr>
          <w:ilvl w:val="0"/>
          <w:numId w:val="2"/>
        </w:numPr>
      </w:pPr>
      <w:r w:rsidRPr="004C3549">
        <w:t xml:space="preserve">Information on disability resources; </w:t>
      </w:r>
    </w:p>
    <w:p w:rsidR="004C3549" w:rsidRPr="004C3549" w:rsidRDefault="004C3549" w:rsidP="004C3549">
      <w:pPr>
        <w:pStyle w:val="ListParagraph"/>
        <w:numPr>
          <w:ilvl w:val="0"/>
          <w:numId w:val="2"/>
        </w:numPr>
      </w:pPr>
      <w:r w:rsidRPr="004C3549">
        <w:t xml:space="preserve">Personal assistance services while receiving vocational rehabilitation services; </w:t>
      </w:r>
    </w:p>
    <w:p w:rsidR="004C3549" w:rsidRPr="004C3549" w:rsidRDefault="004C3549" w:rsidP="004C3549">
      <w:pPr>
        <w:pStyle w:val="ListParagraph"/>
        <w:numPr>
          <w:ilvl w:val="0"/>
          <w:numId w:val="2"/>
        </w:numPr>
      </w:pPr>
      <w:r w:rsidRPr="004C3549">
        <w:t xml:space="preserve">Transportation in connection with VR services being provided; </w:t>
      </w:r>
    </w:p>
    <w:p w:rsidR="004C3549" w:rsidRPr="004C3549" w:rsidRDefault="004C3549" w:rsidP="004C3549">
      <w:pPr>
        <w:pStyle w:val="ListParagraph"/>
        <w:numPr>
          <w:ilvl w:val="0"/>
          <w:numId w:val="2"/>
        </w:numPr>
      </w:pPr>
      <w:r w:rsidRPr="004C3549">
        <w:t xml:space="preserve">Supported employment; </w:t>
      </w:r>
    </w:p>
    <w:p w:rsidR="004C3549" w:rsidRPr="004C3549" w:rsidRDefault="004C3549" w:rsidP="004C3549">
      <w:pPr>
        <w:pStyle w:val="ListParagraph"/>
        <w:numPr>
          <w:ilvl w:val="0"/>
          <w:numId w:val="2"/>
        </w:numPr>
      </w:pPr>
      <w:r w:rsidRPr="004C3549">
        <w:t xml:space="preserve">Self-employment assistance; </w:t>
      </w:r>
    </w:p>
    <w:p w:rsidR="004C3549" w:rsidRPr="004C3549" w:rsidRDefault="004C3549" w:rsidP="004C3549">
      <w:pPr>
        <w:pStyle w:val="ListParagraph"/>
        <w:numPr>
          <w:ilvl w:val="0"/>
          <w:numId w:val="2"/>
        </w:numPr>
      </w:pPr>
      <w:r w:rsidRPr="004C3549">
        <w:t xml:space="preserve">Transition School-to-Work services for youth with disabilities; and </w:t>
      </w:r>
    </w:p>
    <w:p w:rsidR="004C3549" w:rsidRDefault="004C3549" w:rsidP="004C3549">
      <w:pPr>
        <w:pStyle w:val="ListParagraph"/>
        <w:numPr>
          <w:ilvl w:val="0"/>
          <w:numId w:val="2"/>
        </w:numPr>
        <w:sectPr w:rsidR="004C3549" w:rsidSect="008B4E38">
          <w:footerReference w:type="default" r:id="rId35"/>
          <w:pgSz w:w="12240" w:h="15840"/>
          <w:pgMar w:top="720" w:right="720" w:bottom="720" w:left="720" w:header="720" w:footer="720" w:gutter="0"/>
          <w:cols w:space="720"/>
          <w:noEndnote/>
        </w:sectPr>
      </w:pPr>
      <w:r w:rsidRPr="004C3549">
        <w:t>Other services based on individual needs.</w:t>
      </w:r>
    </w:p>
    <w:p w:rsidR="004C3549" w:rsidRDefault="004C3549" w:rsidP="004C3549">
      <w:r w:rsidRPr="004C3549">
        <w:lastRenderedPageBreak/>
        <w:t xml:space="preserve">An Individualized Plan for Employment (IPE) determines what services a client receives. It outlines a person’s employment goal and the assistance needed to enable the person to achieve that goal. An IPE is developed in one of two ways — a client and their counselor can work together to develop it, or </w:t>
      </w:r>
      <w:proofErr w:type="gramStart"/>
      <w:r w:rsidRPr="004C3549">
        <w:t>it can be written by the client according to guidelines the counselor will explain</w:t>
      </w:r>
      <w:proofErr w:type="gramEnd"/>
      <w:r w:rsidRPr="004C3549">
        <w:t>.</w:t>
      </w:r>
    </w:p>
    <w:p w:rsidR="004C3549" w:rsidRDefault="004C3549" w:rsidP="004C3549">
      <w:pPr>
        <w:sectPr w:rsidR="004C3549" w:rsidSect="008B4E38">
          <w:footerReference w:type="default" r:id="rId36"/>
          <w:pgSz w:w="12240" w:h="15840"/>
          <w:pgMar w:top="720" w:right="720" w:bottom="720" w:left="720" w:header="720" w:footer="720" w:gutter="0"/>
          <w:cols w:space="720"/>
          <w:noEndnote/>
        </w:sectPr>
      </w:pPr>
      <w:r>
        <w:t xml:space="preserve">Photo: </w:t>
      </w:r>
      <w:r w:rsidRPr="004C3549">
        <w:t>Two students using canes in hallway of OSB.</w:t>
      </w:r>
    </w:p>
    <w:p w:rsidR="004C3549" w:rsidRDefault="004C3549" w:rsidP="004C3549">
      <w:r>
        <w:lastRenderedPageBreak/>
        <w:t>Library for the Blind and Physically Handicapped</w:t>
      </w:r>
    </w:p>
    <w:p w:rsidR="004C3549" w:rsidRDefault="004C3549" w:rsidP="004C3549">
      <w:proofErr w:type="gramStart"/>
      <w:r>
        <w:t>4,798</w:t>
      </w:r>
      <w:proofErr w:type="gramEnd"/>
      <w:r>
        <w:t xml:space="preserve"> Patrons of the library in Fiscal Year 2019</w:t>
      </w:r>
    </w:p>
    <w:p w:rsidR="004C3549" w:rsidRDefault="004C3549" w:rsidP="004C3549">
      <w:proofErr w:type="gramStart"/>
      <w:r>
        <w:t>34,246</w:t>
      </w:r>
      <w:proofErr w:type="gramEnd"/>
      <w:r>
        <w:t xml:space="preserve"> Number of audio book titles in collection</w:t>
      </w:r>
    </w:p>
    <w:p w:rsidR="004C3549" w:rsidRDefault="004C3549" w:rsidP="004C3549">
      <w:proofErr w:type="gramStart"/>
      <w:r>
        <w:t>2,913</w:t>
      </w:r>
      <w:proofErr w:type="gramEnd"/>
      <w:r>
        <w:t xml:space="preserve"> Books received weekly by patrons</w:t>
      </w:r>
    </w:p>
    <w:p w:rsidR="004C3549" w:rsidRDefault="004C3549" w:rsidP="004C3549">
      <w:proofErr w:type="gramStart"/>
      <w:r>
        <w:t>1,158</w:t>
      </w:r>
      <w:proofErr w:type="gramEnd"/>
      <w:r>
        <w:t xml:space="preserve"> Children served through the Accessible Instructional Materials (AIM) Center in FY 19</w:t>
      </w:r>
    </w:p>
    <w:p w:rsidR="004C3549" w:rsidRDefault="004C3549" w:rsidP="004C3549">
      <w:r>
        <w:t>13,522 Learning aids, equipment and books available for students</w:t>
      </w:r>
    </w:p>
    <w:p w:rsidR="004C3549" w:rsidRDefault="004C3549" w:rsidP="004C3549">
      <w:proofErr w:type="gramStart"/>
      <w:r>
        <w:t>2,810</w:t>
      </w:r>
      <w:proofErr w:type="gramEnd"/>
      <w:r>
        <w:t xml:space="preserve"> Number of items circulated per month</w:t>
      </w:r>
    </w:p>
    <w:p w:rsidR="004C3549" w:rsidRDefault="00346159" w:rsidP="004C3549">
      <w:r>
        <w:t>O</w:t>
      </w:r>
      <w:r w:rsidR="004C3549" w:rsidRPr="004C3549">
        <w:t>LBPH services open world to thousands in state</w:t>
      </w:r>
    </w:p>
    <w:p w:rsidR="00346159" w:rsidRPr="00346159" w:rsidRDefault="00346159" w:rsidP="00346159">
      <w:r w:rsidRPr="00346159">
        <w:t xml:space="preserve">Oklahomans with disabilities can reach out to the world through thousands of books, textbooks and periodicals available in audio recorded and Braille formats — all </w:t>
      </w:r>
      <w:proofErr w:type="gramStart"/>
      <w:r w:rsidRPr="00346159">
        <w:t>for free</w:t>
      </w:r>
      <w:proofErr w:type="gramEnd"/>
      <w:r w:rsidRPr="00346159">
        <w:t xml:space="preserve">.  </w:t>
      </w:r>
    </w:p>
    <w:p w:rsidR="00346159" w:rsidRDefault="00346159" w:rsidP="00346159">
      <w:pPr>
        <w:sectPr w:rsidR="00346159" w:rsidSect="008B4E38">
          <w:footerReference w:type="default" r:id="rId37"/>
          <w:pgSz w:w="12240" w:h="15840"/>
          <w:pgMar w:top="720" w:right="720" w:bottom="720" w:left="720" w:header="720" w:footer="720" w:gutter="0"/>
          <w:cols w:space="720"/>
          <w:noEndnote/>
        </w:sectPr>
      </w:pPr>
      <w:r w:rsidRPr="00346159">
        <w:t>The Oklahoma Library for the Blind and Physically Handicapped provides library services at no cost to those with visual or physical disabilities.</w:t>
      </w:r>
    </w:p>
    <w:p w:rsidR="00346159" w:rsidRPr="00346159" w:rsidRDefault="00346159" w:rsidP="00346159">
      <w:r w:rsidRPr="00346159">
        <w:lastRenderedPageBreak/>
        <w:t xml:space="preserve">The library provides Braille and large-print textbooks and assistive devices </w:t>
      </w:r>
      <w:proofErr w:type="gramStart"/>
      <w:r w:rsidRPr="00346159">
        <w:t>for students with visual impairments in kindergarten through 12th grade and earlier developmental years</w:t>
      </w:r>
      <w:proofErr w:type="gramEnd"/>
      <w:r w:rsidRPr="00346159">
        <w:t xml:space="preserve"> as long as funds are available to meet the requests. </w:t>
      </w:r>
    </w:p>
    <w:p w:rsidR="00346159" w:rsidRPr="00346159" w:rsidRDefault="00346159" w:rsidP="00346159">
      <w:r w:rsidRPr="00346159">
        <w:t xml:space="preserve">For more information on all library services, go to the library’s web site at www.olbph.org. The library, which </w:t>
      </w:r>
      <w:proofErr w:type="gramStart"/>
      <w:r w:rsidRPr="00346159">
        <w:t>is operated</w:t>
      </w:r>
      <w:proofErr w:type="gramEnd"/>
      <w:r w:rsidRPr="00346159">
        <w:t xml:space="preserve"> by DRS’ Services for the Blind and Visually Impaired Division, is part of the Library of Congress’ National Library Service for the Blind and Physically Handicapped.</w:t>
      </w:r>
    </w:p>
    <w:p w:rsidR="00346159" w:rsidRDefault="00346159" w:rsidP="00346159">
      <w:r w:rsidRPr="00346159">
        <w:t>Oklahomans for Special Library Services is the library’s friends group supporting the work of the library.</w:t>
      </w:r>
    </w:p>
    <w:p w:rsidR="00346159" w:rsidRDefault="00346159" w:rsidP="00346159">
      <w:r>
        <w:t>Photo: Woman recording publication in sound studio.</w:t>
      </w:r>
    </w:p>
    <w:p w:rsidR="00346159" w:rsidRPr="00346159" w:rsidRDefault="00346159" w:rsidP="00346159">
      <w:pPr>
        <w:sectPr w:rsidR="00346159" w:rsidRPr="00346159" w:rsidSect="008B4E38">
          <w:footerReference w:type="default" r:id="rId38"/>
          <w:pgSz w:w="12240" w:h="15840"/>
          <w:pgMar w:top="720" w:right="720" w:bottom="720" w:left="720" w:header="720" w:footer="720" w:gutter="0"/>
          <w:cols w:space="720"/>
          <w:noEndnote/>
        </w:sectPr>
      </w:pPr>
      <w:r>
        <w:t>Photo: Library shelves filled with digital books.</w:t>
      </w:r>
    </w:p>
    <w:p w:rsidR="00346159" w:rsidRDefault="00346159" w:rsidP="00346159">
      <w:r>
        <w:lastRenderedPageBreak/>
        <w:t xml:space="preserve">Business Enterprise Program </w:t>
      </w:r>
    </w:p>
    <w:p w:rsidR="00346159" w:rsidRDefault="00346159" w:rsidP="00346159">
      <w:r>
        <w:t>BEP offers business starts to clients</w:t>
      </w:r>
    </w:p>
    <w:p w:rsidR="00346159" w:rsidRPr="00346159" w:rsidRDefault="00346159" w:rsidP="00346159">
      <w:r w:rsidRPr="00346159">
        <w:t xml:space="preserve">Oklahomans who are blind or visually impaired can be back on the road to an independent life with the assistance of a DRS program that offers them the chance to own their own businesses.  </w:t>
      </w:r>
    </w:p>
    <w:p w:rsidR="00346159" w:rsidRPr="00346159" w:rsidRDefault="00346159" w:rsidP="00346159">
      <w:r w:rsidRPr="00346159">
        <w:t>Through the federally enacted Randolph-Sheppard Act of 1936 and Oklahoma State Statute Title 7, SBVI operates the Business Enterprise Program. BEP’s mission is to provide employment opportunities for people who at least are legally blind with best correction by establishing food service operations across the state.</w:t>
      </w:r>
    </w:p>
    <w:p w:rsidR="00346159" w:rsidRPr="00817586" w:rsidRDefault="00346159" w:rsidP="00817586">
      <w:pPr>
        <w:sectPr w:rsidR="00346159" w:rsidRPr="00817586" w:rsidSect="008B4E38">
          <w:footerReference w:type="default" r:id="rId39"/>
          <w:pgSz w:w="12240" w:h="15840"/>
          <w:pgMar w:top="720" w:right="720" w:bottom="720" w:left="720" w:header="720" w:footer="720" w:gutter="0"/>
          <w:cols w:space="720"/>
          <w:noEndnote/>
        </w:sectPr>
      </w:pPr>
      <w:r w:rsidRPr="00346159">
        <w:t>These operations may consist of vending machine routes, cafeterias or a variety of different types of snack bars. To accomplish this, the BEP aids entrepreneurs by providing extensive business training, licensing business owners, locating and equipping locations, securing initial inventory and offering on-going business consultation services.</w:t>
      </w:r>
    </w:p>
    <w:p w:rsidR="00346159" w:rsidRDefault="00346159" w:rsidP="00146831">
      <w:r w:rsidRPr="00346159">
        <w:lastRenderedPageBreak/>
        <w:t xml:space="preserve">BEP entrepreneurs are educated in food safety, hospitality, marketing and business management. A portion of each business’ proceeds </w:t>
      </w:r>
      <w:proofErr w:type="gramStart"/>
      <w:r w:rsidRPr="00346159">
        <w:t>is paid</w:t>
      </w:r>
      <w:proofErr w:type="gramEnd"/>
      <w:r w:rsidRPr="00346159">
        <w:t xml:space="preserve"> to DRS to help support the program.</w:t>
      </w:r>
    </w:p>
    <w:p w:rsidR="00146831" w:rsidRPr="00146831" w:rsidRDefault="00146831" w:rsidP="00146831">
      <w:r>
        <w:t xml:space="preserve">Photo: </w:t>
      </w:r>
      <w:r w:rsidRPr="00146831">
        <w:t>Soldiers ordering food at a commissary operated by a BEP independent contractor.</w:t>
      </w:r>
    </w:p>
    <w:p w:rsidR="00146831" w:rsidRDefault="00146831" w:rsidP="00146831">
      <w:r>
        <w:t>Older Blind Program</w:t>
      </w:r>
    </w:p>
    <w:p w:rsidR="00146831" w:rsidRPr="00146831" w:rsidRDefault="00146831" w:rsidP="00146831">
      <w:r w:rsidRPr="00146831">
        <w:t>DRS program helps keep seniors with disabilities living independent life</w:t>
      </w:r>
    </w:p>
    <w:p w:rsidR="00146831" w:rsidRPr="00146831" w:rsidRDefault="00146831" w:rsidP="00146831">
      <w:r w:rsidRPr="00146831">
        <w:t>Dialing a phone and cooking are just a couple of the skills Oklahomans who are blind or visually impaired need to master to live independently.</w:t>
      </w:r>
    </w:p>
    <w:p w:rsidR="00146831" w:rsidRPr="00817586" w:rsidRDefault="00146831" w:rsidP="00817586">
      <w:pPr>
        <w:sectPr w:rsidR="00146831" w:rsidRPr="00817586" w:rsidSect="008B4E38">
          <w:footerReference w:type="default" r:id="rId40"/>
          <w:pgSz w:w="12240" w:h="15840"/>
          <w:pgMar w:top="720" w:right="720" w:bottom="720" w:left="720" w:header="720" w:footer="720" w:gutter="0"/>
          <w:cols w:space="720"/>
          <w:noEndnote/>
        </w:sectPr>
      </w:pPr>
      <w:r w:rsidRPr="00146831">
        <w:t>DRS’ Older Blind Independent Living Program offers free independent living services to people who are 55 years old or older, legally blind and not curr</w:t>
      </w:r>
      <w:r>
        <w:t>ently interested in employment.</w:t>
      </w:r>
    </w:p>
    <w:p w:rsidR="00146831" w:rsidRPr="00146831" w:rsidRDefault="00146831" w:rsidP="00146831">
      <w:r w:rsidRPr="00146831">
        <w:lastRenderedPageBreak/>
        <w:t xml:space="preserve">Rehabilitation teachers located in Services for the Blind and Visually Impaired offices throughout the state provide one-on-one assistance to individuals adjusting to blindness and regaining or maintaining maximum independence and self-sufficiency. </w:t>
      </w:r>
    </w:p>
    <w:p w:rsidR="00146831" w:rsidRPr="00146831" w:rsidRDefault="00146831" w:rsidP="00146831">
      <w:r w:rsidRPr="00146831">
        <w:t>Staff present training for businesses, organizations and others to develop greater awareness of the abilities and needs of older Oklahomans who are blind. Legal blindness occurs when visual acuity with best correction is 20/200 or less or when side vision results in a field restriction of 20 degrees or less.</w:t>
      </w:r>
    </w:p>
    <w:p w:rsidR="00146831" w:rsidRDefault="00146831" w:rsidP="00146831">
      <w:pPr>
        <w:sectPr w:rsidR="00146831" w:rsidSect="008B4E38">
          <w:footerReference w:type="default" r:id="rId41"/>
          <w:pgSz w:w="12240" w:h="15840"/>
          <w:pgMar w:top="720" w:right="720" w:bottom="720" w:left="720" w:header="720" w:footer="720" w:gutter="0"/>
          <w:cols w:space="720"/>
          <w:noEndnote/>
        </w:sectPr>
      </w:pPr>
      <w:r w:rsidRPr="00146831">
        <w:t>Oklahomans having problems dialing the phone, signing their names, cooking, identifying money, time telling, or matching clothing can get help from a rehabilitation teacher. The teacher will work with clients in learning how to perform these tasks safely, efficiently and independently.</w:t>
      </w:r>
    </w:p>
    <w:p w:rsidR="00346159" w:rsidRDefault="00346159" w:rsidP="00346159">
      <w:r>
        <w:lastRenderedPageBreak/>
        <w:t>Oklahoma School for the Blind</w:t>
      </w:r>
    </w:p>
    <w:p w:rsidR="00346159" w:rsidRDefault="00346159" w:rsidP="00346159">
      <w:r>
        <w:t xml:space="preserve">The Oklahoma School for the Blind serves students </w:t>
      </w:r>
      <w:proofErr w:type="spellStart"/>
      <w:r>
        <w:t>pre school</w:t>
      </w:r>
      <w:proofErr w:type="spellEnd"/>
      <w:r>
        <w:t xml:space="preserve"> through 12th-grade, offering superior educational opportunities that empower students to pursue independence, education and a lifetime career. Tuition is free.</w:t>
      </w:r>
    </w:p>
    <w:p w:rsidR="00346159" w:rsidRDefault="00346159" w:rsidP="00346159">
      <w:r>
        <w:t>Photo: Woman with blonde hair.</w:t>
      </w:r>
    </w:p>
    <w:p w:rsidR="00346159" w:rsidRDefault="00346159" w:rsidP="00346159">
      <w:r>
        <w:t>OSB Superintendent Rita Echelle</w:t>
      </w:r>
    </w:p>
    <w:p w:rsidR="00346159" w:rsidRDefault="00346159" w:rsidP="00346159">
      <w:r>
        <w:t>Impact on Oklahomans in FY 2019</w:t>
      </w:r>
    </w:p>
    <w:p w:rsidR="00346159" w:rsidRDefault="00346159" w:rsidP="00346159">
      <w:proofErr w:type="gramStart"/>
      <w:r>
        <w:t>100%</w:t>
      </w:r>
      <w:proofErr w:type="gramEnd"/>
      <w:r>
        <w:t xml:space="preserve"> Graduation rate for students attending the Oklahoma School for the Blind</w:t>
      </w:r>
    </w:p>
    <w:p w:rsidR="00346159" w:rsidRDefault="00346159" w:rsidP="00346159">
      <w:r>
        <w:t>1 to 4 OSB teacher to student ratio</w:t>
      </w:r>
    </w:p>
    <w:p w:rsidR="00346159" w:rsidRDefault="00346159" w:rsidP="00346159">
      <w:r>
        <w:t xml:space="preserve">1 to 4 Direct-care specialists to </w:t>
      </w:r>
      <w:proofErr w:type="gramStart"/>
      <w:r>
        <w:t>students</w:t>
      </w:r>
      <w:proofErr w:type="gramEnd"/>
      <w:r>
        <w:t xml:space="preserve"> ratio</w:t>
      </w:r>
    </w:p>
    <w:p w:rsidR="00346159" w:rsidRDefault="00346159" w:rsidP="00346159">
      <w:proofErr w:type="gramStart"/>
      <w:r>
        <w:t>94</w:t>
      </w:r>
      <w:proofErr w:type="gramEnd"/>
      <w:r>
        <w:t xml:space="preserve"> Total number of students </w:t>
      </w:r>
      <w:r w:rsidRPr="00346159">
        <w:t>enrolled in 2019</w:t>
      </w:r>
    </w:p>
    <w:p w:rsidR="00346159" w:rsidRDefault="00346159" w:rsidP="00346159">
      <w:proofErr w:type="gramStart"/>
      <w:r>
        <w:t>5</w:t>
      </w:r>
      <w:proofErr w:type="gramEnd"/>
      <w:r>
        <w:t xml:space="preserve"> Number of OSB students who have multiple disabilities</w:t>
      </w:r>
    </w:p>
    <w:p w:rsidR="00346159" w:rsidRDefault="00346159" w:rsidP="00346159">
      <w:proofErr w:type="gramStart"/>
      <w:r>
        <w:t>4,522</w:t>
      </w:r>
      <w:proofErr w:type="gramEnd"/>
      <w:r>
        <w:t xml:space="preserve"> Direct services offered through school’s Outreach Services</w:t>
      </w:r>
    </w:p>
    <w:p w:rsidR="00346159" w:rsidRDefault="00346159" w:rsidP="00346159">
      <w:pPr>
        <w:sectPr w:rsidR="00346159" w:rsidSect="008B4E38">
          <w:footerReference w:type="default" r:id="rId42"/>
          <w:pgSz w:w="12240" w:h="15840"/>
          <w:pgMar w:top="720" w:right="720" w:bottom="720" w:left="720" w:header="720" w:footer="720" w:gutter="0"/>
          <w:cols w:space="720"/>
          <w:noEndnote/>
        </w:sectPr>
      </w:pPr>
      <w:proofErr w:type="gramStart"/>
      <w:r>
        <w:t>1,472</w:t>
      </w:r>
      <w:proofErr w:type="gramEnd"/>
      <w:r>
        <w:t xml:space="preserve"> Outreach Services offered to other school districts</w:t>
      </w:r>
    </w:p>
    <w:p w:rsidR="00146831" w:rsidRDefault="00146831" w:rsidP="00146831">
      <w:r w:rsidRPr="00146831">
        <w:lastRenderedPageBreak/>
        <w:t xml:space="preserve">OSB staff empowers students to prepare for independent lives </w:t>
      </w:r>
    </w:p>
    <w:p w:rsidR="00146831" w:rsidRPr="00146831" w:rsidRDefault="00146831" w:rsidP="00146831">
      <w:r w:rsidRPr="00146831">
        <w:t>Oklahoma children who are blind or visually impaired can achieve their dreams for an independent life by building on the foundation that the Oklahoma School for the Blind teachers and staff help them build.</w:t>
      </w:r>
    </w:p>
    <w:p w:rsidR="00146831" w:rsidRPr="00146831" w:rsidRDefault="00146831" w:rsidP="00146831">
      <w:r w:rsidRPr="00146831">
        <w:t xml:space="preserve">OSB serves students preschool-age through 12th-grade, offering superior educational opportunities that empower students to pursue independence, education and a career. Tuition is free.  </w:t>
      </w:r>
    </w:p>
    <w:p w:rsidR="00146831" w:rsidRPr="00146831" w:rsidRDefault="00146831" w:rsidP="00146831">
      <w:r w:rsidRPr="00146831">
        <w:t xml:space="preserve">OSB staff provide students with specialized educational programs in coordination with their state-mandated educational requirements. Independent living skills and specialized accessible technology equipment assist each student in developing their maximum potential.  </w:t>
      </w:r>
    </w:p>
    <w:p w:rsidR="00146831" w:rsidRDefault="00146831" w:rsidP="00146831">
      <w:pPr>
        <w:sectPr w:rsidR="00146831" w:rsidSect="008B4E38">
          <w:footerReference w:type="default" r:id="rId43"/>
          <w:pgSz w:w="12240" w:h="15840"/>
          <w:pgMar w:top="720" w:right="720" w:bottom="720" w:left="720" w:header="720" w:footer="720" w:gutter="0"/>
          <w:cols w:space="720"/>
          <w:noEndnote/>
        </w:sectPr>
      </w:pPr>
      <w:r w:rsidRPr="00146831">
        <w:t>School staff play a critical role in each student’s success by setting high standards for achievement. The school offers a comprehensive curriculum of reading, language arts, mathematics, social studies, science, physical education, music and computer science for both residential and day students.</w:t>
      </w:r>
    </w:p>
    <w:p w:rsidR="00146831" w:rsidRPr="00146831" w:rsidRDefault="00146831" w:rsidP="00146831">
      <w:r w:rsidRPr="00146831">
        <w:lastRenderedPageBreak/>
        <w:t xml:space="preserve">OSB offers a robotics program that is fully accessible to blind/visually impaired students and introduces the students to the exciting world of math and engineering. </w:t>
      </w:r>
    </w:p>
    <w:p w:rsidR="00146831" w:rsidRPr="00146831" w:rsidRDefault="00146831" w:rsidP="00146831">
      <w:r w:rsidRPr="00146831">
        <w:t xml:space="preserve">Students wishing to pursue music can take part in the OSB Jazz Band, which routinely </w:t>
      </w:r>
      <w:proofErr w:type="gramStart"/>
      <w:r w:rsidRPr="00146831">
        <w:t>is recognized</w:t>
      </w:r>
      <w:proofErr w:type="gramEnd"/>
      <w:r w:rsidRPr="00146831">
        <w:t xml:space="preserve"> in the state for setting a high bar for musical excellence.  </w:t>
      </w:r>
    </w:p>
    <w:p w:rsidR="00146831" w:rsidRPr="00146831" w:rsidRDefault="00146831" w:rsidP="00146831">
      <w:r w:rsidRPr="00146831">
        <w:t xml:space="preserve">Specialized instruction includes Braille, orientation and mobility, optimum use of low vision, adaptive equipment, technology and tactile graphic skills. These intensive specializations are not readily available at other public schools in the state. </w:t>
      </w:r>
    </w:p>
    <w:p w:rsidR="00146831" w:rsidRPr="00146831" w:rsidRDefault="00146831" w:rsidP="00146831">
      <w:r w:rsidRPr="00146831">
        <w:t xml:space="preserve">The school serves all 77 Oklahoma counties. Regardless of the hometown, OSB provides transportation at no cost to the parents or guardians to designated stops throughout the state. </w:t>
      </w:r>
    </w:p>
    <w:p w:rsidR="00146831" w:rsidRDefault="00146831" w:rsidP="00146831">
      <w:r w:rsidRPr="00146831">
        <w:t>OSB is a four-day-a-week program. Students who live near the school commute daily. Those who live farther away stay on campus during</w:t>
      </w:r>
      <w:r>
        <w:rPr>
          <w:rFonts w:ascii="Brandon Grotesque Bold" w:hAnsi="Brandon Grotesque Bold" w:cs="Brandon Grotesque Bold"/>
          <w:b/>
          <w:bCs/>
          <w:sz w:val="58"/>
          <w:szCs w:val="58"/>
        </w:rPr>
        <w:t xml:space="preserve"> </w:t>
      </w:r>
      <w:r w:rsidRPr="00146831">
        <w:t>the school week.</w:t>
      </w:r>
      <w:r>
        <w:t xml:space="preserve"> </w:t>
      </w:r>
    </w:p>
    <w:p w:rsidR="00346159" w:rsidRPr="00817586" w:rsidRDefault="00146831" w:rsidP="00817586">
      <w:pPr>
        <w:sectPr w:rsidR="00346159" w:rsidRPr="00817586" w:rsidSect="008B4E38">
          <w:footerReference w:type="default" r:id="rId44"/>
          <w:pgSz w:w="12240" w:h="15840"/>
          <w:pgMar w:top="720" w:right="720" w:bottom="720" w:left="720" w:header="720" w:footer="720" w:gutter="0"/>
          <w:cols w:space="720"/>
          <w:noEndnote/>
        </w:sectPr>
      </w:pPr>
      <w:r>
        <w:t>OSB, Continued Page 15</w:t>
      </w:r>
    </w:p>
    <w:p w:rsidR="00146831" w:rsidRDefault="00146831" w:rsidP="00146831">
      <w:pPr>
        <w:pStyle w:val="NoSpacing"/>
      </w:pPr>
      <w:r w:rsidRPr="00146831">
        <w:lastRenderedPageBreak/>
        <w:t>OSB</w:t>
      </w:r>
    </w:p>
    <w:p w:rsidR="00346159" w:rsidRDefault="00146831" w:rsidP="00146831">
      <w:r>
        <w:t>Youth sees bright forecast for independent future</w:t>
      </w:r>
    </w:p>
    <w:p w:rsidR="00146831" w:rsidRDefault="00146831" w:rsidP="00146831">
      <w:r>
        <w:t xml:space="preserve">Photo: Young </w:t>
      </w:r>
      <w:proofErr w:type="gramStart"/>
      <w:r>
        <w:t>man</w:t>
      </w:r>
      <w:proofErr w:type="gramEnd"/>
      <w:r>
        <w:t xml:space="preserve"> standing in front of wall.</w:t>
      </w:r>
    </w:p>
    <w:p w:rsidR="00146831" w:rsidRDefault="00146831" w:rsidP="00146831">
      <w:r>
        <w:t xml:space="preserve">Cutline: Julio </w:t>
      </w:r>
      <w:proofErr w:type="spellStart"/>
      <w:r>
        <w:t>Vadez</w:t>
      </w:r>
      <w:proofErr w:type="spellEnd"/>
    </w:p>
    <w:p w:rsidR="00146831" w:rsidRPr="00146831" w:rsidRDefault="00146831" w:rsidP="00146831">
      <w:r w:rsidRPr="00146831">
        <w:t>Julio Valdez‘s career goals are gaining strength at the Oklahoma School for the Blind, and his career dream may one day make him the go-to source for weather forecasting in Oklahoma.</w:t>
      </w:r>
    </w:p>
    <w:p w:rsidR="00146831" w:rsidRPr="00146831" w:rsidRDefault="00146831" w:rsidP="00146831">
      <w:r w:rsidRPr="00146831">
        <w:t xml:space="preserve">Valdez, who is a ninth-grader and legally blind, began his education at OSB in November 2016 after struggling to make his way in an Oklahoma City public </w:t>
      </w:r>
      <w:proofErr w:type="gramStart"/>
      <w:r w:rsidRPr="00146831">
        <w:t>school</w:t>
      </w:r>
      <w:proofErr w:type="gramEnd"/>
      <w:r w:rsidRPr="00146831">
        <w:t>.</w:t>
      </w:r>
    </w:p>
    <w:p w:rsidR="00146831" w:rsidRDefault="00146831" w:rsidP="00146831">
      <w:pPr>
        <w:sectPr w:rsidR="00146831" w:rsidSect="008B4E38">
          <w:footerReference w:type="default" r:id="rId45"/>
          <w:pgSz w:w="12240" w:h="15840"/>
          <w:pgMar w:top="720" w:right="720" w:bottom="720" w:left="720" w:header="720" w:footer="720" w:gutter="0"/>
          <w:cols w:space="720"/>
          <w:noEndnote/>
        </w:sectPr>
      </w:pPr>
      <w:r w:rsidRPr="00146831">
        <w:t>“They (the public school) weren’t as equipped for special needs as they are here,” Valdez said. “I didn’t really learn much in public school, if anything.”</w:t>
      </w:r>
    </w:p>
    <w:p w:rsidR="00146831" w:rsidRPr="00146831" w:rsidRDefault="00146831" w:rsidP="00146831">
      <w:r w:rsidRPr="00146831">
        <w:lastRenderedPageBreak/>
        <w:t xml:space="preserve">His reading teacher Cassie Shelton said she met Valdez, who was then in the sixth-grade, when they were both new to school. She gave him his first reading assessment at OSB, and she said his reading comprehension at that time was at a first-grade level (1.5). By the end of his seventh-grade year at OSB, he was reading at grade level (7.5). In the most recent assessment, his reading comprehension and vocabulary ranged from sophomore to junior grade levels. </w:t>
      </w:r>
    </w:p>
    <w:p w:rsidR="00146831" w:rsidRPr="00146831" w:rsidRDefault="00146831" w:rsidP="00146831">
      <w:r w:rsidRPr="00146831">
        <w:t>“I could tell this kid had really great phonics skills,” Shelton said. “He is a very motivated student. He is not one you have to drag along to learn. He is sprinting academically.”</w:t>
      </w:r>
    </w:p>
    <w:p w:rsidR="00146831" w:rsidRPr="00146831" w:rsidRDefault="00146831" w:rsidP="00146831">
      <w:r w:rsidRPr="00146831">
        <w:t>The path to his academic success was not always certain. He said it was only after one of his friends went to OSB and told him about their experience, that he began considering the opportunity.</w:t>
      </w:r>
    </w:p>
    <w:p w:rsidR="00146831" w:rsidRDefault="00146831" w:rsidP="00146831">
      <w:pPr>
        <w:sectPr w:rsidR="00146831" w:rsidSect="008B4E38">
          <w:footerReference w:type="default" r:id="rId46"/>
          <w:pgSz w:w="12240" w:h="15840"/>
          <w:pgMar w:top="720" w:right="720" w:bottom="720" w:left="720" w:header="720" w:footer="720" w:gutter="0"/>
          <w:cols w:space="720"/>
          <w:noEndnote/>
        </w:sectPr>
      </w:pPr>
      <w:r w:rsidRPr="00146831">
        <w:t xml:space="preserve">“I wasn’t sure I wanted to come here, but my mom told me to ‘give it a try,’” he said. “At first, it is a little hard. You get homesick, and you miss your parents. </w:t>
      </w:r>
      <w:proofErr w:type="gramStart"/>
      <w:r w:rsidRPr="00146831">
        <w:t>But</w:t>
      </w:r>
      <w:proofErr w:type="gramEnd"/>
      <w:r w:rsidRPr="00146831">
        <w:t xml:space="preserve"> it is worth it. You can learn a lot of things here.”</w:t>
      </w:r>
    </w:p>
    <w:p w:rsidR="00146831" w:rsidRPr="00146831" w:rsidRDefault="00146831" w:rsidP="00146831">
      <w:r w:rsidRPr="00146831">
        <w:lastRenderedPageBreak/>
        <w:t xml:space="preserve">His favorite part of his OSB education is developing skills that make him more independent such as learning to navigate the world with the use of a cane. The school’s unique focus also allows him to be part of activities that were never available to him before such as Boy Scouts. </w:t>
      </w:r>
    </w:p>
    <w:p w:rsidR="00146831" w:rsidRPr="00146831" w:rsidRDefault="00146831" w:rsidP="00146831">
      <w:r w:rsidRPr="00146831">
        <w:t>“We go camping and really like it,” he said. “I also have had the opportunity to go to the National Weather Festival in Norman. I am really interested in weather.”</w:t>
      </w:r>
    </w:p>
    <w:p w:rsidR="00146831" w:rsidRPr="00146831" w:rsidRDefault="00146831" w:rsidP="00146831">
      <w:r w:rsidRPr="00146831">
        <w:t xml:space="preserve">At OSB, Valdez no longer feels on the sideline of life. He is now mapping out plans for his life after high school that includes college and a career in weather. </w:t>
      </w:r>
    </w:p>
    <w:p w:rsidR="00F54C91" w:rsidRDefault="00146831" w:rsidP="00346159">
      <w:pPr>
        <w:sectPr w:rsidR="00F54C91" w:rsidSect="008B4E38">
          <w:footerReference w:type="default" r:id="rId47"/>
          <w:pgSz w:w="12240" w:h="15840"/>
          <w:pgMar w:top="720" w:right="720" w:bottom="720" w:left="720" w:header="720" w:footer="720" w:gutter="0"/>
          <w:cols w:space="720"/>
          <w:noEndnote/>
        </w:sectPr>
      </w:pPr>
      <w:r w:rsidRPr="00146831">
        <w:t>“I really think I am going to leave here prepared,” Valdez said. “I feel supported here.”</w:t>
      </w:r>
    </w:p>
    <w:p w:rsidR="00F54C91" w:rsidRDefault="00F54C91" w:rsidP="00F54C91">
      <w:r>
        <w:lastRenderedPageBreak/>
        <w:t>OSB, From Page 14</w:t>
      </w:r>
    </w:p>
    <w:p w:rsidR="00F54C91" w:rsidRPr="00F54C91" w:rsidRDefault="00F54C91" w:rsidP="00F54C91">
      <w:r w:rsidRPr="00F54C91">
        <w:t>OSB transports residential students to and from OSB for three-day weekends, summers and holidays at home.</w:t>
      </w:r>
    </w:p>
    <w:p w:rsidR="00F54C91" w:rsidRPr="00F54C91" w:rsidRDefault="00F54C91" w:rsidP="00F54C91">
      <w:r w:rsidRPr="00F54C91">
        <w:t xml:space="preserve">OSB staff is committed to motivating students to overcome any challenges they face and develop the skills to self-advocate for their future. </w:t>
      </w:r>
    </w:p>
    <w:p w:rsidR="00F54C91" w:rsidRDefault="00F54C91" w:rsidP="00F54C91">
      <w:pPr>
        <w:sectPr w:rsidR="00F54C91" w:rsidSect="008B4E38">
          <w:footerReference w:type="default" r:id="rId48"/>
          <w:pgSz w:w="12240" w:h="15840"/>
          <w:pgMar w:top="720" w:right="720" w:bottom="720" w:left="720" w:header="720" w:footer="720" w:gutter="0"/>
          <w:cols w:space="720"/>
          <w:noEndnote/>
        </w:sectPr>
      </w:pPr>
      <w:r w:rsidRPr="00F54C91">
        <w:t>School officials offer thousands of free outreach services each year for students attending local public schools. Qualified staff offer free student evaluations, in-service training for teachers and recommendations for classroom modifications and special equipment that help students reach their full potential.</w:t>
      </w:r>
    </w:p>
    <w:p w:rsidR="00F54C91" w:rsidRDefault="00F54C91" w:rsidP="00F54C91">
      <w:r>
        <w:lastRenderedPageBreak/>
        <w:t>Oklahoma School for the Deaf</w:t>
      </w:r>
    </w:p>
    <w:p w:rsidR="00F54C91" w:rsidRDefault="00F54C91" w:rsidP="00F54C91">
      <w:r>
        <w:t>The Oklahoma School for the Deaf staff strive to offer a top-notch learning environment for deaf and hard-of-hearing students without any barriers to communication. The goal is to empower each student to build an independent future and pursue a career.</w:t>
      </w:r>
    </w:p>
    <w:p w:rsidR="00F54C91" w:rsidRPr="00F54C91" w:rsidRDefault="00F54C91" w:rsidP="00F54C91">
      <w:r>
        <w:t xml:space="preserve">Photo: </w:t>
      </w:r>
      <w:r w:rsidRPr="00F54C91">
        <w:t>Man in gray suit with green tie.</w:t>
      </w:r>
    </w:p>
    <w:p w:rsidR="00F54C91" w:rsidRDefault="00F54C91" w:rsidP="00F54C91">
      <w:r>
        <w:t>OSD Superintendent Chris Dvorak</w:t>
      </w:r>
    </w:p>
    <w:p w:rsidR="00F54C91" w:rsidRDefault="00F54C91" w:rsidP="00F54C91">
      <w:r>
        <w:t>Impact on Oklahomans in FY 2019</w:t>
      </w:r>
    </w:p>
    <w:p w:rsidR="00F54C91" w:rsidRDefault="00F54C91" w:rsidP="00F54C91">
      <w:proofErr w:type="gramStart"/>
      <w:r>
        <w:t>27,396</w:t>
      </w:r>
      <w:proofErr w:type="gramEnd"/>
      <w:r>
        <w:t xml:space="preserve"> Direct services offered to Oklahomans through OSD’s Outreach Services </w:t>
      </w:r>
    </w:p>
    <w:p w:rsidR="00F54C91" w:rsidRDefault="00F54C91" w:rsidP="00F54C91">
      <w:r>
        <w:t>1 to 4 OSD teacher to student ratio</w:t>
      </w:r>
    </w:p>
    <w:p w:rsidR="00F54C91" w:rsidRDefault="00F54C91" w:rsidP="00F54C91">
      <w:r>
        <w:t xml:space="preserve">1 to 4 Direct-care specialists to </w:t>
      </w:r>
      <w:proofErr w:type="gramStart"/>
      <w:r>
        <w:t>students</w:t>
      </w:r>
      <w:proofErr w:type="gramEnd"/>
      <w:r>
        <w:t xml:space="preserve"> ratio</w:t>
      </w:r>
    </w:p>
    <w:p w:rsidR="00F54C91" w:rsidRDefault="00F54C91" w:rsidP="00F54C91">
      <w:proofErr w:type="gramStart"/>
      <w:r>
        <w:t>137</w:t>
      </w:r>
      <w:proofErr w:type="gramEnd"/>
      <w:r>
        <w:t xml:space="preserve"> total number of students enrolled in 2019</w:t>
      </w:r>
    </w:p>
    <w:p w:rsidR="00F54C91" w:rsidRDefault="00F54C91" w:rsidP="00F54C91">
      <w:proofErr w:type="gramStart"/>
      <w:r>
        <w:t>9</w:t>
      </w:r>
      <w:proofErr w:type="gramEnd"/>
      <w:r>
        <w:t xml:space="preserve"> Number of OSD students who have multiple disabilities</w:t>
      </w:r>
    </w:p>
    <w:p w:rsidR="00F54C91" w:rsidRDefault="00F54C91" w:rsidP="00F54C91">
      <w:pPr>
        <w:sectPr w:rsidR="00F54C91" w:rsidSect="008B4E38">
          <w:footerReference w:type="default" r:id="rId49"/>
          <w:pgSz w:w="12240" w:h="15840"/>
          <w:pgMar w:top="720" w:right="720" w:bottom="720" w:left="720" w:header="720" w:footer="720" w:gutter="0"/>
          <w:cols w:space="720"/>
          <w:noEndnote/>
        </w:sectPr>
      </w:pPr>
      <w:proofErr w:type="gramStart"/>
      <w:r>
        <w:t>8,219</w:t>
      </w:r>
      <w:proofErr w:type="gramEnd"/>
      <w:r>
        <w:t xml:space="preserve"> Outreach Services offered to other school districts</w:t>
      </w:r>
      <w:r w:rsidR="00817586">
        <w:t>.</w:t>
      </w:r>
    </w:p>
    <w:p w:rsidR="00F54C91" w:rsidRDefault="00F54C91" w:rsidP="00F54C91">
      <w:r>
        <w:lastRenderedPageBreak/>
        <w:t>Next generation of leaders can build a strong foundation at OSD</w:t>
      </w:r>
    </w:p>
    <w:p w:rsidR="00F54C91" w:rsidRPr="00F54C91" w:rsidRDefault="00F54C91" w:rsidP="00F54C91">
      <w:r w:rsidRPr="00F54C91">
        <w:t>High school students who are deaf and hard-of-hearing can pursue their educational and career dreams in an environment of excellence at the Oklahoma School for the Deaf.</w:t>
      </w:r>
    </w:p>
    <w:p w:rsidR="00F54C91" w:rsidRPr="00F54C91" w:rsidRDefault="00F54C91" w:rsidP="00F54C91">
      <w:r w:rsidRPr="00F54C91">
        <w:t>Staff and students communicate with each other using both American Sign Language and English. Maximized bilingual development is the goal for each student.  Many students utilize cochlear implants or hearing aids. For these students, spoken English is also a developmental focus.</w:t>
      </w:r>
    </w:p>
    <w:p w:rsidR="00F54C91" w:rsidRPr="00F54C91" w:rsidRDefault="00F54C91" w:rsidP="00F54C91">
      <w:r w:rsidRPr="00F54C91">
        <w:t xml:space="preserve">OSD is a deaf education immersion school, while other schools, public or private, </w:t>
      </w:r>
      <w:proofErr w:type="gramStart"/>
      <w:r w:rsidRPr="00F54C91">
        <w:t>are</w:t>
      </w:r>
      <w:proofErr w:type="gramEnd"/>
      <w:r w:rsidRPr="00F54C91">
        <w:t xml:space="preserve"> often only able to make basic accommodations. Sign language classes </w:t>
      </w:r>
      <w:proofErr w:type="gramStart"/>
      <w:r w:rsidRPr="00F54C91">
        <w:t>are provided</w:t>
      </w:r>
      <w:proofErr w:type="gramEnd"/>
      <w:r w:rsidRPr="00F54C91">
        <w:t xml:space="preserve"> for all students and staff.</w:t>
      </w:r>
    </w:p>
    <w:p w:rsidR="00F54C91" w:rsidRDefault="00F54C91" w:rsidP="00F54C91">
      <w:pPr>
        <w:sectPr w:rsidR="00F54C91" w:rsidSect="008B4E38">
          <w:footerReference w:type="default" r:id="rId50"/>
          <w:pgSz w:w="12240" w:h="15840"/>
          <w:pgMar w:top="720" w:right="720" w:bottom="720" w:left="720" w:header="720" w:footer="720" w:gutter="0"/>
          <w:cols w:space="720"/>
          <w:noEndnote/>
        </w:sectPr>
      </w:pPr>
      <w:r w:rsidRPr="00F54C91">
        <w:t xml:space="preserve">Classes for parents and the community </w:t>
      </w:r>
      <w:proofErr w:type="gramStart"/>
      <w:r w:rsidRPr="00F54C91">
        <w:t>are also offered</w:t>
      </w:r>
      <w:proofErr w:type="gramEnd"/>
      <w:r w:rsidRPr="00F54C91">
        <w:t xml:space="preserve">. Staff members are required to obtain sign language proficiency that </w:t>
      </w:r>
      <w:proofErr w:type="gramStart"/>
      <w:r w:rsidRPr="00F54C91">
        <w:t>is measured</w:t>
      </w:r>
      <w:proofErr w:type="gramEnd"/>
      <w:r w:rsidRPr="00F54C91">
        <w:t xml:space="preserve"> by a Sign Language Proficiency Interview.</w:t>
      </w:r>
    </w:p>
    <w:p w:rsidR="00F54C91" w:rsidRDefault="00F54C91" w:rsidP="00F54C91">
      <w:r w:rsidRPr="00F54C91">
        <w:lastRenderedPageBreak/>
        <w:t>Students who attend OSD must meet all graduation requirements set forth by the Oklahoma Department of Education.</w:t>
      </w:r>
    </w:p>
    <w:p w:rsidR="00F54C91" w:rsidRDefault="00F54C91" w:rsidP="00F54C91">
      <w:r>
        <w:t>OSD, Continued Page 17</w:t>
      </w:r>
    </w:p>
    <w:p w:rsidR="00F54C91" w:rsidRDefault="00F54C91" w:rsidP="00F54C91">
      <w:r>
        <w:t xml:space="preserve">Photo: </w:t>
      </w:r>
      <w:r w:rsidRPr="00F54C91">
        <w:t>OSD running back carrying the ball after taking it from the quarterback.</w:t>
      </w:r>
    </w:p>
    <w:p w:rsidR="00F54C91" w:rsidRPr="00F54C91" w:rsidRDefault="00F54C91" w:rsidP="00F54C91">
      <w:pPr>
        <w:sectPr w:rsidR="00F54C91" w:rsidRPr="00F54C91" w:rsidSect="008B4E38">
          <w:footerReference w:type="default" r:id="rId51"/>
          <w:pgSz w:w="12240" w:h="15840"/>
          <w:pgMar w:top="720" w:right="720" w:bottom="720" w:left="720" w:header="720" w:footer="720" w:gutter="0"/>
          <w:cols w:space="720"/>
          <w:noEndnote/>
        </w:sectPr>
      </w:pPr>
    </w:p>
    <w:p w:rsidR="00F54C91" w:rsidRDefault="00F54C91" w:rsidP="00F54C91">
      <w:r>
        <w:lastRenderedPageBreak/>
        <w:t>OSD</w:t>
      </w:r>
    </w:p>
    <w:p w:rsidR="00F54C91" w:rsidRPr="00F54C91" w:rsidRDefault="00F54C91" w:rsidP="00F54C91">
      <w:r>
        <w:t xml:space="preserve">Photo: </w:t>
      </w:r>
      <w:r w:rsidRPr="00F54C91">
        <w:t>Man standing in his family's kitchen.</w:t>
      </w:r>
    </w:p>
    <w:p w:rsidR="00F54C91" w:rsidRDefault="00F54C91" w:rsidP="00F54C91">
      <w:r>
        <w:t>Cutline: Gage Cole</w:t>
      </w:r>
    </w:p>
    <w:p w:rsidR="00F54C91" w:rsidRDefault="00F54C91" w:rsidP="00F54C91">
      <w:r>
        <w:t>School helped Oklahoma man go from the sideline to end zone</w:t>
      </w:r>
    </w:p>
    <w:p w:rsidR="00F54C91" w:rsidRPr="00F54C91" w:rsidRDefault="00F54C91" w:rsidP="00F54C91">
      <w:r w:rsidRPr="00F54C91">
        <w:t xml:space="preserve">Gage Cole had a hard time talking with his public school classmates or teachers in Purcell. It left him on the outside of activities such as his school’s sports teams. </w:t>
      </w:r>
    </w:p>
    <w:p w:rsidR="00F54C91" w:rsidRPr="00F54C91" w:rsidRDefault="00F54C91" w:rsidP="00F54C91">
      <w:r w:rsidRPr="00F54C91">
        <w:t>A camp he attended at the Oklahoma School for the Deaf in the summer before seventh grade though would open up his world.</w:t>
      </w:r>
    </w:p>
    <w:p w:rsidR="00F54C91" w:rsidRPr="00F54C91" w:rsidRDefault="00F54C91" w:rsidP="00F54C91">
      <w:pPr>
        <w:sectPr w:rsidR="00F54C91" w:rsidRPr="00F54C91" w:rsidSect="008B4E38">
          <w:footerReference w:type="default" r:id="rId52"/>
          <w:pgSz w:w="12240" w:h="15840"/>
          <w:pgMar w:top="720" w:right="720" w:bottom="720" w:left="720" w:header="720" w:footer="720" w:gutter="0"/>
          <w:cols w:space="720"/>
          <w:noEndnote/>
        </w:sectPr>
      </w:pPr>
      <w:r w:rsidRPr="00F54C91">
        <w:t>Cole said the camp made him want to leave public school because he met fellow teens from OSD who were freely communicating</w:t>
      </w:r>
      <w:r>
        <w:t xml:space="preserve"> using American Sign Language.</w:t>
      </w:r>
    </w:p>
    <w:p w:rsidR="005D0E47" w:rsidRPr="005D0E47" w:rsidRDefault="005D0E47" w:rsidP="005D0E47">
      <w:r w:rsidRPr="005D0E47">
        <w:lastRenderedPageBreak/>
        <w:t>Cole dove deep into activities at OSD, playing football, basketball and golf. His favorite class was math. Public schools had been a place where he never got into the game, but at OSD, he played both offense and defense on the football team, including being a running back.</w:t>
      </w:r>
    </w:p>
    <w:p w:rsidR="005D0E47" w:rsidRPr="005D0E47" w:rsidRDefault="005D0E47" w:rsidP="005D0E47">
      <w:r w:rsidRPr="005D0E47">
        <w:t xml:space="preserve">Since graduating in 2018, Cole has worked at the Chickasaw National Recreation Area in maintenance. He said he loves the job that offers him the chance to work outdoors. </w:t>
      </w:r>
    </w:p>
    <w:p w:rsidR="005D0E47" w:rsidRDefault="005D0E47" w:rsidP="005D0E47">
      <w:r w:rsidRPr="005D0E47">
        <w:t xml:space="preserve">College or trade school may still be in his future, but Cole said he hopes to </w:t>
      </w:r>
      <w:proofErr w:type="gramStart"/>
      <w:r w:rsidRPr="005D0E47">
        <w:t>one day</w:t>
      </w:r>
      <w:proofErr w:type="gramEnd"/>
      <w:r w:rsidRPr="005D0E47">
        <w:t xml:space="preserve"> use his hands to be creative, building items including furniture.</w:t>
      </w:r>
    </w:p>
    <w:p w:rsidR="005D0E47" w:rsidRDefault="005D0E47" w:rsidP="005D0E47">
      <w:r>
        <w:t>OSD, From Page 16</w:t>
      </w:r>
    </w:p>
    <w:p w:rsidR="005D0E47" w:rsidRPr="005D0E47" w:rsidRDefault="005D0E47" w:rsidP="005D0E47">
      <w:pPr>
        <w:sectPr w:rsidR="005D0E47" w:rsidRPr="005D0E47" w:rsidSect="008B4E38">
          <w:footerReference w:type="default" r:id="rId53"/>
          <w:pgSz w:w="12240" w:h="15840"/>
          <w:pgMar w:top="720" w:right="720" w:bottom="720" w:left="720" w:header="720" w:footer="720" w:gutter="0"/>
          <w:cols w:space="720"/>
          <w:noEndnote/>
        </w:sectPr>
      </w:pPr>
      <w:r w:rsidRPr="005D0E47">
        <w:t xml:space="preserve">All classes </w:t>
      </w:r>
      <w:proofErr w:type="gramStart"/>
      <w:r w:rsidRPr="005D0E47">
        <w:t>are taught</w:t>
      </w:r>
      <w:proofErr w:type="gramEnd"/>
      <w:r w:rsidRPr="005D0E47">
        <w:t xml:space="preserve"> in consideration of each student’s unique communication and education needs. This includes not only the use of American Sign Language but also the use of other adaptive technology. </w:t>
      </w:r>
    </w:p>
    <w:p w:rsidR="005D0E47" w:rsidRPr="005D0E47" w:rsidRDefault="005D0E47" w:rsidP="005D0E47">
      <w:r w:rsidRPr="005D0E47">
        <w:lastRenderedPageBreak/>
        <w:t xml:space="preserve">Students receive full educational and social experiences. They perform in school programs </w:t>
      </w:r>
      <w:r w:rsidRPr="005D0E47">
        <w:rPr>
          <w:spacing w:val="-7"/>
        </w:rPr>
        <w:t>and dramas. They have prom and homecoming events for all sports. They compete with other schools on sports teams, leadership programs and academic teams.</w:t>
      </w:r>
    </w:p>
    <w:p w:rsidR="005D0E47" w:rsidRPr="005D0E47" w:rsidRDefault="005D0E47" w:rsidP="005D0E47">
      <w:pPr>
        <w:rPr>
          <w:spacing w:val="-7"/>
        </w:rPr>
      </w:pPr>
      <w:r w:rsidRPr="005D0E47">
        <w:rPr>
          <w:spacing w:val="-7"/>
        </w:rPr>
        <w:t>OSD has a strong vocational program that offers business technology, family and consumer sciences and welding classes on site. OSD also offers a school-to-work program, Occupational Training Opportunities for the Deaf. Students gain valuable work experience and a paycheck at various businesses in the community, which gives them a competitive resume after graduation.</w:t>
      </w:r>
    </w:p>
    <w:p w:rsidR="00F54C91" w:rsidRPr="00F54C91" w:rsidRDefault="005D0E47" w:rsidP="00F54C91">
      <w:pPr>
        <w:sectPr w:rsidR="00F54C91" w:rsidRPr="00F54C91" w:rsidSect="008B4E38">
          <w:footerReference w:type="default" r:id="rId54"/>
          <w:pgSz w:w="12240" w:h="15840"/>
          <w:pgMar w:top="720" w:right="720" w:bottom="720" w:left="720" w:header="720" w:footer="720" w:gutter="0"/>
          <w:cols w:space="720"/>
          <w:noEndnote/>
        </w:sectPr>
      </w:pPr>
      <w:r w:rsidRPr="005D0E47">
        <w:rPr>
          <w:spacing w:val="-7"/>
        </w:rPr>
        <w:t xml:space="preserve">OSD is a four-day-a-week program. Students attend classes Monday through Thursday. Those who live close to campus commute back and forth to school. Students from greater distances live at the school free of charge and go home for three-day weekends, summers and holidays. OSD serves any Oklahoma student </w:t>
      </w:r>
      <w:r w:rsidRPr="005D0E47">
        <w:t>from preschool to 12th grade.</w:t>
      </w:r>
    </w:p>
    <w:p w:rsidR="00F54C91" w:rsidRPr="00F54C91" w:rsidRDefault="00F54C91" w:rsidP="00F54C91">
      <w:r w:rsidRPr="00F54C91">
        <w:lastRenderedPageBreak/>
        <w:t>Cole dove deep into activities at OSD, playing football, basketball and golf. His favorite class was math. Public schools had been a place where he never got into the game, but at OSD, he played both offense and defense on the football team, including being a running back.</w:t>
      </w:r>
    </w:p>
    <w:p w:rsidR="00F54C91" w:rsidRPr="00F54C91" w:rsidRDefault="00F54C91" w:rsidP="00F54C91">
      <w:r w:rsidRPr="00F54C91">
        <w:t xml:space="preserve">Since graduating in 2018, Cole has worked at the Chickasaw National Recreation Area in maintenance. He said he loves the job that offers him the chance to work outdoors. </w:t>
      </w:r>
    </w:p>
    <w:p w:rsidR="00F54C91" w:rsidRPr="00F54C91" w:rsidRDefault="00F54C91" w:rsidP="00F54C91">
      <w:pPr>
        <w:sectPr w:rsidR="00F54C91" w:rsidRPr="00F54C91" w:rsidSect="008B4E38">
          <w:footerReference w:type="default" r:id="rId55"/>
          <w:pgSz w:w="12240" w:h="15840"/>
          <w:pgMar w:top="720" w:right="720" w:bottom="720" w:left="720" w:header="720" w:footer="720" w:gutter="0"/>
          <w:cols w:space="720"/>
          <w:noEndnote/>
        </w:sectPr>
      </w:pPr>
      <w:r w:rsidRPr="00F54C91">
        <w:t xml:space="preserve">College or trade school may still be in his future, but Cole said he hopes to </w:t>
      </w:r>
      <w:proofErr w:type="gramStart"/>
      <w:r w:rsidRPr="00F54C91">
        <w:t>one day</w:t>
      </w:r>
      <w:proofErr w:type="gramEnd"/>
      <w:r w:rsidRPr="00F54C91">
        <w:t xml:space="preserve"> use his hands to be creative, building items including furniture.</w:t>
      </w:r>
    </w:p>
    <w:p w:rsidR="005D0E47" w:rsidRDefault="005D0E47" w:rsidP="005D0E47">
      <w:r>
        <w:lastRenderedPageBreak/>
        <w:t>Disability Determination</w:t>
      </w:r>
    </w:p>
    <w:p w:rsidR="005D0E47" w:rsidRDefault="005D0E47" w:rsidP="005D0E47">
      <w:r>
        <w:t xml:space="preserve">DDS processes applications made to the </w:t>
      </w:r>
      <w:r>
        <w:br/>
        <w:t>Social Security Administration for Social Security Disability Insurance and Supplemental Security Income.</w:t>
      </w:r>
    </w:p>
    <w:p w:rsidR="00346159" w:rsidRDefault="005D0E47" w:rsidP="00346159">
      <w:r>
        <w:t>Photo: Man in blue suit.</w:t>
      </w:r>
    </w:p>
    <w:p w:rsidR="005D0E47" w:rsidRDefault="005D0E47" w:rsidP="005D0E47">
      <w:r>
        <w:t>Disability Determination Administrator Brian Nickles</w:t>
      </w:r>
    </w:p>
    <w:p w:rsidR="005D0E47" w:rsidRDefault="005D0E47" w:rsidP="005D0E47">
      <w:r>
        <w:t>Impact on Oklahomans in FFY 2019</w:t>
      </w:r>
    </w:p>
    <w:p w:rsidR="005D0E47" w:rsidRDefault="005D0E47" w:rsidP="005D0E47">
      <w:proofErr w:type="gramStart"/>
      <w:r w:rsidRPr="005D0E47">
        <w:t>89,997</w:t>
      </w:r>
      <w:proofErr w:type="gramEnd"/>
      <w:r>
        <w:t xml:space="preserve"> Total number of cases cleared by Disability Determination Services staff in FFY 2019 </w:t>
      </w:r>
    </w:p>
    <w:p w:rsidR="005D0E47" w:rsidRDefault="005D0E47" w:rsidP="005D0E47">
      <w:r>
        <w:t>89.9 Numbers of days that DDS takes on average to process a case</w:t>
      </w:r>
    </w:p>
    <w:p w:rsidR="005D0E47" w:rsidRDefault="005D0E47" w:rsidP="005D0E47">
      <w:r>
        <w:t>95.6% DDS accuracy rate on cases. Among the highest regional rates</w:t>
      </w:r>
    </w:p>
    <w:p w:rsidR="005D0E47" w:rsidRDefault="005D0E47" w:rsidP="005D0E47">
      <w:proofErr w:type="gramStart"/>
      <w:r>
        <w:t>100% Percent</w:t>
      </w:r>
      <w:proofErr w:type="gramEnd"/>
      <w:r>
        <w:t xml:space="preserve"> of budgeted workload processed</w:t>
      </w:r>
    </w:p>
    <w:p w:rsidR="005D0E47" w:rsidRPr="005D0E47" w:rsidRDefault="005D0E47" w:rsidP="005D0E47">
      <w:r>
        <w:t xml:space="preserve">1 </w:t>
      </w:r>
      <w:r w:rsidRPr="005D0E47">
        <w:t>of 3 D</w:t>
      </w:r>
      <w:r>
        <w:t xml:space="preserve">DS is one of three states that </w:t>
      </w:r>
      <w:r w:rsidRPr="005D0E47">
        <w:t>provides support to other states</w:t>
      </w:r>
    </w:p>
    <w:p w:rsidR="00626C37" w:rsidRDefault="005D0E47" w:rsidP="005D0E47">
      <w:pPr>
        <w:sectPr w:rsidR="00626C37" w:rsidSect="008B4E38">
          <w:footerReference w:type="default" r:id="rId56"/>
          <w:pgSz w:w="12240" w:h="15840"/>
          <w:pgMar w:top="720" w:right="720" w:bottom="720" w:left="720" w:header="720" w:footer="720" w:gutter="0"/>
          <w:cols w:space="720"/>
          <w:noEndnote/>
        </w:sectPr>
      </w:pPr>
      <w:r>
        <w:t xml:space="preserve">$11.9 million DDS’ fraud unit savings for </w:t>
      </w:r>
      <w:r>
        <w:br/>
        <w:t>American taxpayers</w:t>
      </w:r>
    </w:p>
    <w:p w:rsidR="005D0E47" w:rsidRDefault="005D0E47" w:rsidP="005D0E47">
      <w:pPr>
        <w:sectPr w:rsidR="005D0E47" w:rsidSect="008B4E38">
          <w:footerReference w:type="default" r:id="rId57"/>
          <w:pgSz w:w="12240" w:h="15840"/>
          <w:pgMar w:top="720" w:right="720" w:bottom="720" w:left="720" w:header="720" w:footer="720" w:gutter="0"/>
          <w:cols w:space="720"/>
          <w:noEndnote/>
        </w:sectPr>
      </w:pPr>
      <w:r>
        <w:lastRenderedPageBreak/>
        <w:t xml:space="preserve">Photo: </w:t>
      </w:r>
      <w:r w:rsidRPr="005D0E47">
        <w:t>Large group of people forming the</w:t>
      </w:r>
      <w:r w:rsidR="00626C37">
        <w:t xml:space="preserve"> shape of the state of Oklahoma.</w:t>
      </w:r>
    </w:p>
    <w:p w:rsidR="00626C37" w:rsidRDefault="00626C37" w:rsidP="00626C37">
      <w:r>
        <w:lastRenderedPageBreak/>
        <w:t>DDS</w:t>
      </w:r>
    </w:p>
    <w:p w:rsidR="00626C37" w:rsidRDefault="00626C37" w:rsidP="00626C37">
      <w:r>
        <w:t>Division committed to quality, serving taxpayers</w:t>
      </w:r>
    </w:p>
    <w:p w:rsidR="005D0E47" w:rsidRDefault="00626C37" w:rsidP="00626C37">
      <w:r>
        <w:t>Graphic: Social Security Administration logo.</w:t>
      </w:r>
    </w:p>
    <w:p w:rsidR="00626C37" w:rsidRPr="00626C37" w:rsidRDefault="00626C37" w:rsidP="00626C37">
      <w:r w:rsidRPr="00626C37">
        <w:t>Decisions on whether Oklahomans are eligible for Social Security disability benefits are crucial for people looking to build a secure foundation for their lives. Staff at DRS’ Disability Determination Services understand those needs and place a priority on quickly processing cases as well as delivering accurate decisions.</w:t>
      </w:r>
    </w:p>
    <w:p w:rsidR="00626C37" w:rsidRPr="00626C37" w:rsidRDefault="00626C37" w:rsidP="00626C37">
      <w:r w:rsidRPr="00626C37">
        <w:t>DDS processes applications made to the Social Security Administration for Social Security Disability Insurance and Supplemental Security Income.</w:t>
      </w:r>
    </w:p>
    <w:p w:rsidR="00626C37" w:rsidRDefault="00626C37" w:rsidP="00626C37">
      <w:pPr>
        <w:sectPr w:rsidR="00626C37" w:rsidSect="008B4E38">
          <w:footerReference w:type="default" r:id="rId58"/>
          <w:pgSz w:w="12240" w:h="15840"/>
          <w:pgMar w:top="720" w:right="720" w:bottom="720" w:left="720" w:header="720" w:footer="720" w:gutter="0"/>
          <w:cols w:space="720"/>
          <w:noEndnote/>
        </w:sectPr>
      </w:pPr>
      <w:r w:rsidRPr="00626C37">
        <w:t xml:space="preserve">For each disability claim, a team of para-professionals, disability specialists and medical/psychological consultants review each applicant’s medical and work history. The team determines whether applicants meet federal medical eligibility criteria for disability or blindness. </w:t>
      </w:r>
    </w:p>
    <w:p w:rsidR="00626C37" w:rsidRPr="00626C37" w:rsidRDefault="00626C37" w:rsidP="00626C37">
      <w:r w:rsidRPr="00626C37">
        <w:lastRenderedPageBreak/>
        <w:t>Oklahoma’s DDS claim processing time averages of 89.9 days. They are in the upper tier of units in the country with their accuracy rate of 95.6 percent.</w:t>
      </w:r>
    </w:p>
    <w:p w:rsidR="00626C37" w:rsidRPr="00626C37" w:rsidRDefault="00626C37" w:rsidP="00626C37">
      <w:r w:rsidRPr="00626C37">
        <w:t xml:space="preserve">During Federal Fiscal Year 2019, DDS met their budgeted workload, processing 100-percent of their allotted cases. DDS cleared 75,023 Oklahoma cases and 14,974 cases for other states. That brings the total to 89,997 cleared cases in FFY 2019.  </w:t>
      </w:r>
    </w:p>
    <w:p w:rsidR="00626C37" w:rsidRPr="00626C37" w:rsidRDefault="00626C37" w:rsidP="00626C37">
      <w:r w:rsidRPr="00626C37">
        <w:t xml:space="preserve">The clearing of cases for other states is a particular point of pride for DRS. DDS continues to be a national resource as one of three Extended Service Team sites that assists other states with their backlog of disability claims. Since its inception, Oklahoma EST has provided assistance to multiple states including Arizona, California, Kansas, Louisiana and New Mexico. </w:t>
      </w:r>
    </w:p>
    <w:p w:rsidR="00626C37" w:rsidRDefault="00626C37" w:rsidP="00626C37">
      <w:pPr>
        <w:sectPr w:rsidR="00626C37" w:rsidSect="008B4E38">
          <w:footerReference w:type="default" r:id="rId59"/>
          <w:pgSz w:w="12240" w:h="15840"/>
          <w:pgMar w:top="720" w:right="720" w:bottom="720" w:left="720" w:header="720" w:footer="720" w:gutter="0"/>
          <w:cols w:space="720"/>
          <w:noEndnote/>
        </w:sectPr>
      </w:pPr>
      <w:r w:rsidRPr="00626C37">
        <w:t>DDS has also placed a priority on saving taxpayers money by investigating fraudulent claims.</w:t>
      </w:r>
    </w:p>
    <w:p w:rsidR="00626C37" w:rsidRPr="00626C37" w:rsidRDefault="00626C37" w:rsidP="00626C37">
      <w:r w:rsidRPr="00626C37">
        <w:lastRenderedPageBreak/>
        <w:t>The Cooperative Disability Investigations unit investigates individual disability claims and identifies third parties to prevent fraud in SSA’s SSDI and SSI disability programs and related federal and state programs.</w:t>
      </w:r>
    </w:p>
    <w:p w:rsidR="00626C37" w:rsidRPr="00626C37" w:rsidRDefault="00626C37" w:rsidP="00626C37">
      <w:r w:rsidRPr="00626C37">
        <w:t>The CDI unit opened 111 cases during FFY 2019, closed 124 and denied or ceased benefits to 114.</w:t>
      </w:r>
    </w:p>
    <w:p w:rsidR="00626C37" w:rsidRPr="00626C37" w:rsidRDefault="00626C37" w:rsidP="00626C37">
      <w:r w:rsidRPr="00626C37">
        <w:t>The fraud savings this year through the CDI Unit’s work totaled an estimated $11.9 million on a federal budget of $452,000.</w:t>
      </w:r>
    </w:p>
    <w:p w:rsidR="00626C37" w:rsidRDefault="00626C37" w:rsidP="00626C37">
      <w:pPr>
        <w:sectPr w:rsidR="00626C37" w:rsidSect="008B4E38">
          <w:footerReference w:type="default" r:id="rId60"/>
          <w:pgSz w:w="12240" w:h="15840"/>
          <w:pgMar w:top="720" w:right="720" w:bottom="720" w:left="720" w:header="720" w:footer="720" w:gutter="0"/>
          <w:cols w:space="720"/>
          <w:noEndnote/>
        </w:sectPr>
      </w:pPr>
      <w:r w:rsidRPr="00626C37">
        <w:t xml:space="preserve">DDS’ budget </w:t>
      </w:r>
      <w:proofErr w:type="gramStart"/>
      <w:r w:rsidRPr="00626C37">
        <w:t>is federally funded</w:t>
      </w:r>
      <w:proofErr w:type="gramEnd"/>
      <w:r w:rsidRPr="00626C37">
        <w:t>.</w:t>
      </w:r>
    </w:p>
    <w:p w:rsidR="00626C37" w:rsidRDefault="00626C37" w:rsidP="00626C37">
      <w:r>
        <w:lastRenderedPageBreak/>
        <w:t xml:space="preserve">Graphic: </w:t>
      </w:r>
      <w:r w:rsidRPr="00626C37">
        <w:t xml:space="preserve">Map of the state of Oklahoma with icons in each county denoting what DRS services </w:t>
      </w:r>
      <w:proofErr w:type="gramStart"/>
      <w:r w:rsidRPr="00626C37">
        <w:t>were offered</w:t>
      </w:r>
      <w:proofErr w:type="gramEnd"/>
      <w:r w:rsidRPr="00626C37">
        <w:t xml:space="preserve"> in that area during fiscal year 2019.</w:t>
      </w:r>
    </w:p>
    <w:p w:rsidR="00626C37" w:rsidRDefault="00626C37" w:rsidP="00626C37">
      <w:r>
        <w:t>Guide to map</w:t>
      </w:r>
    </w:p>
    <w:p w:rsidR="00626C37" w:rsidRDefault="00626C37" w:rsidP="00626C37">
      <w:r>
        <w:t>Graphic: Green star - Icon indicates Oklahomans from this county received services from DRS’ Vocational Rehabilitation Division.</w:t>
      </w:r>
    </w:p>
    <w:p w:rsidR="00626C37" w:rsidRDefault="00626C37" w:rsidP="00626C37">
      <w:r>
        <w:t>Graphic: Blue triangle - Icon indicates Oklahomans from this county received services from DRS’ Division of Services for the Blind and Visually Impaired.</w:t>
      </w:r>
    </w:p>
    <w:p w:rsidR="00626C37" w:rsidRDefault="00626C37" w:rsidP="00626C37">
      <w:r>
        <w:t>Graphic: red circle - Icon indicates Oklahomans from this county received services from DRS’ School for the Blind.</w:t>
      </w:r>
    </w:p>
    <w:p w:rsidR="00626C37" w:rsidRDefault="00626C37" w:rsidP="00626C37">
      <w:r>
        <w:t>Graphic: Purple Arrow - Icon indicates Oklahomans from this county received services from DRS’ School for the Deaf.</w:t>
      </w:r>
    </w:p>
    <w:p w:rsidR="00626C37" w:rsidRDefault="00626C37" w:rsidP="00626C37">
      <w:pPr>
        <w:sectPr w:rsidR="00626C37" w:rsidSect="008B4E38">
          <w:footerReference w:type="default" r:id="rId61"/>
          <w:pgSz w:w="12240" w:h="15840"/>
          <w:pgMar w:top="720" w:right="720" w:bottom="720" w:left="720" w:header="720" w:footer="720" w:gutter="0"/>
          <w:cols w:space="720"/>
          <w:noEndnote/>
        </w:sectPr>
      </w:pPr>
      <w:r>
        <w:t xml:space="preserve">Graphic: red square - Icon indicates Oklahomans from this county received services from DRS’ Disability </w:t>
      </w:r>
      <w:r>
        <w:br/>
        <w:t>Determination Division.</w:t>
      </w:r>
    </w:p>
    <w:p w:rsidR="00626C37" w:rsidRDefault="00626C37" w:rsidP="00626C37">
      <w:r>
        <w:lastRenderedPageBreak/>
        <w:t xml:space="preserve">Graphic: Blue diamond - Icon indicates Oklahomans from this county received services from DRS’ Oklahoma Library for the Blind and Physically </w:t>
      </w:r>
      <w:r>
        <w:br/>
        <w:t>Handicapped.</w:t>
      </w:r>
    </w:p>
    <w:p w:rsidR="00626C37" w:rsidRDefault="00626C37" w:rsidP="00626C37">
      <w:pPr>
        <w:sectPr w:rsidR="00626C37" w:rsidSect="008B4E38">
          <w:footerReference w:type="default" r:id="rId62"/>
          <w:pgSz w:w="12240" w:h="15840"/>
          <w:pgMar w:top="720" w:right="720" w:bottom="720" w:left="720" w:header="720" w:footer="720" w:gutter="0"/>
          <w:cols w:space="720"/>
          <w:noEndnote/>
        </w:sectPr>
      </w:pPr>
      <w:r>
        <w:t>EMPOWERI</w:t>
      </w:r>
      <w:r w:rsidR="001633CF">
        <w:t>NG OKLAHOMANS WITH DISABILITIE</w:t>
      </w:r>
      <w:r w:rsidR="00817586">
        <w:t>S</w:t>
      </w:r>
    </w:p>
    <w:tbl>
      <w:tblPr>
        <w:tblW w:w="4856" w:type="pct"/>
        <w:tblLook w:val="00E0" w:firstRow="1" w:lastRow="1" w:firstColumn="1" w:lastColumn="0" w:noHBand="0" w:noVBand="0"/>
        <w:tblCaption w:val="DRS Clients Broken Down by Division"/>
        <w:tblDescription w:val="This chart lists the number of school students as well as outreach clients served, broken down by Oklahoma state county."/>
      </w:tblPr>
      <w:tblGrid>
        <w:gridCol w:w="2389"/>
        <w:gridCol w:w="2390"/>
        <w:gridCol w:w="1871"/>
        <w:gridCol w:w="1313"/>
        <w:gridCol w:w="1313"/>
        <w:gridCol w:w="2449"/>
        <w:gridCol w:w="1312"/>
        <w:gridCol w:w="1353"/>
      </w:tblGrid>
      <w:tr w:rsidR="00745120" w:rsidRPr="00745120" w:rsidTr="00512BFD">
        <w:trPr>
          <w:cantSplit/>
          <w:trHeight w:val="485"/>
          <w:tblHeader/>
        </w:trPr>
        <w:tc>
          <w:tcPr>
            <w:tcW w:w="105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45120" w:rsidRPr="00745120" w:rsidRDefault="00745120" w:rsidP="00745120">
            <w:r w:rsidRPr="00745120">
              <w:rPr>
                <w:color w:val="003366"/>
              </w:rPr>
              <w:lastRenderedPageBreak/>
              <w:br w:type="page"/>
            </w:r>
            <w:r w:rsidRPr="00745120">
              <w:t>County</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745120" w:rsidRPr="00745120" w:rsidRDefault="00745120" w:rsidP="00745120">
            <w:r w:rsidRPr="00745120">
              <w:t>Vocational Rehabilitation</w:t>
            </w:r>
          </w:p>
        </w:tc>
        <w:tc>
          <w:tcPr>
            <w:tcW w:w="498" w:type="pct"/>
            <w:tcBorders>
              <w:top w:val="single" w:sz="4" w:space="0" w:color="auto"/>
              <w:left w:val="nil"/>
              <w:bottom w:val="single" w:sz="4" w:space="0" w:color="auto"/>
              <w:right w:val="single" w:sz="4" w:space="0" w:color="auto"/>
            </w:tcBorders>
            <w:shd w:val="clear" w:color="auto" w:fill="auto"/>
            <w:vAlign w:val="center"/>
            <w:hideMark/>
          </w:tcPr>
          <w:p w:rsidR="00745120" w:rsidRPr="00745120" w:rsidRDefault="00745120" w:rsidP="00745120">
            <w:r w:rsidRPr="00745120">
              <w:t>Visual Services**</w:t>
            </w:r>
          </w:p>
        </w:tc>
        <w:tc>
          <w:tcPr>
            <w:tcW w:w="540" w:type="pct"/>
            <w:tcBorders>
              <w:top w:val="single" w:sz="4" w:space="0" w:color="auto"/>
              <w:left w:val="nil"/>
              <w:bottom w:val="single" w:sz="4" w:space="0" w:color="auto"/>
              <w:right w:val="single" w:sz="4" w:space="0" w:color="auto"/>
            </w:tcBorders>
            <w:shd w:val="clear" w:color="auto" w:fill="auto"/>
            <w:vAlign w:val="center"/>
            <w:hideMark/>
          </w:tcPr>
          <w:p w:rsidR="00745120" w:rsidRPr="00745120" w:rsidRDefault="00745120" w:rsidP="00745120">
            <w:r w:rsidRPr="00745120">
              <w:t>School for</w:t>
            </w:r>
            <w:r w:rsidRPr="00745120">
              <w:br/>
              <w:t>the Blind*</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45120" w:rsidRPr="00745120" w:rsidRDefault="00745120" w:rsidP="00745120">
            <w:r w:rsidRPr="00745120">
              <w:t>School for</w:t>
            </w:r>
            <w:r w:rsidRPr="00745120">
              <w:br/>
              <w:t>the Deaf*</w:t>
            </w:r>
          </w:p>
        </w:tc>
        <w:tc>
          <w:tcPr>
            <w:tcW w:w="655" w:type="pct"/>
            <w:tcBorders>
              <w:top w:val="single" w:sz="4" w:space="0" w:color="auto"/>
              <w:left w:val="nil"/>
              <w:bottom w:val="single" w:sz="4" w:space="0" w:color="auto"/>
              <w:right w:val="single" w:sz="4" w:space="0" w:color="auto"/>
            </w:tcBorders>
            <w:shd w:val="clear" w:color="auto" w:fill="auto"/>
            <w:vAlign w:val="center"/>
            <w:hideMark/>
          </w:tcPr>
          <w:p w:rsidR="00745120" w:rsidRPr="00745120" w:rsidRDefault="00745120" w:rsidP="00745120">
            <w:r w:rsidRPr="00745120">
              <w:t>Disability Determination</w:t>
            </w:r>
          </w:p>
        </w:tc>
        <w:tc>
          <w:tcPr>
            <w:tcW w:w="603" w:type="pct"/>
            <w:tcBorders>
              <w:top w:val="single" w:sz="4" w:space="0" w:color="auto"/>
              <w:left w:val="nil"/>
              <w:bottom w:val="single" w:sz="4" w:space="0" w:color="auto"/>
              <w:right w:val="single" w:sz="4" w:space="0" w:color="auto"/>
            </w:tcBorders>
            <w:shd w:val="clear" w:color="auto" w:fill="auto"/>
            <w:vAlign w:val="center"/>
            <w:hideMark/>
          </w:tcPr>
          <w:p w:rsidR="00745120" w:rsidRPr="00745120" w:rsidRDefault="00745120" w:rsidP="00745120">
            <w:r w:rsidRPr="00745120">
              <w:t>OK Library</w:t>
            </w:r>
            <w:r w:rsidRPr="00745120">
              <w:br/>
              <w:t>for the Blind</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745120" w:rsidRPr="00745120" w:rsidRDefault="00745120" w:rsidP="00745120">
            <w:r w:rsidRPr="00745120">
              <w:t>Total by County</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Adair</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13</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8</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9</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497</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20</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605</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Alfalfa</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13</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0</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49</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15</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106</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Atoka</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79</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10</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7</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6</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213</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21</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339</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Beaver</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2</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31</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5</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49</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Beckham</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57</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17</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12</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6</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386</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36</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573</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Blaine</w:t>
            </w:r>
            <w:r w:rsidRPr="00745120">
              <w:tab/>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16</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11</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8</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147</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15</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215</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Bryan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122</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21</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19</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24</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832</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47</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1178</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Default="00745120" w:rsidP="00745120">
            <w:r w:rsidRPr="00745120">
              <w:t>Caddo</w:t>
            </w:r>
          </w:p>
          <w:p w:rsidR="00745120" w:rsidRPr="00745120" w:rsidRDefault="00745120" w:rsidP="00745120">
            <w:pPr>
              <w:jc w:val="right"/>
            </w:pP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63</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14</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6</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575</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23</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767</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lastRenderedPageBreak/>
              <w:t>Canadian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236</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29</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21</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1078</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128</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1524</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Carter</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106</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28</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49</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34</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947</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68</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1331</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Cherokee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82</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27</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26</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19</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756</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51</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1050</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Choctaw</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52</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13</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5</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355</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28</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508</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Cimarron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0</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15</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19</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Cleveland</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446</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56</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8</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45</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2465</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285</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3525</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Coal</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61</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83</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6</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159</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Comanche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325</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50</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8</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11</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2658</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95</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3299</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lastRenderedPageBreak/>
              <w:t>Cotton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5</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15</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121</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14</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172</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Craig</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26</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29</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10</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314</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15</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442</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Creek</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138</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26</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5</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17</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969</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98</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1407</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Custer</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101</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24</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8</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359</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42</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596</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Delaware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41</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681</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58</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866</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Dewey</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19</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3</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vAlign w:val="center"/>
          </w:tcPr>
          <w:p w:rsidR="00745120" w:rsidRPr="00745120" w:rsidRDefault="00745120" w:rsidP="00745120">
            <w:pPr>
              <w:rPr>
                <w:color w:val="000000"/>
              </w:rPr>
            </w:pPr>
            <w:r w:rsidRPr="00745120">
              <w:rPr>
                <w:color w:val="000000"/>
              </w:rPr>
              <w:t>0</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37</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6</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65</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Ellis</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7</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vAlign w:val="center"/>
          </w:tcPr>
          <w:p w:rsidR="00745120" w:rsidRPr="00745120" w:rsidRDefault="00745120" w:rsidP="00745120">
            <w:pPr>
              <w:rPr>
                <w:color w:val="000000"/>
              </w:rPr>
            </w:pPr>
            <w:r w:rsidRPr="00745120">
              <w:rPr>
                <w:color w:val="000000"/>
              </w:rPr>
              <w:t>2</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45</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4</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70</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Garfield</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194</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33</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3</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19</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849</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87</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1190</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lastRenderedPageBreak/>
              <w:t>Garvin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102</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19</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33</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424</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31</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678</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Grady</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104</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22</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13</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24</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701</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44</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999</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Grant</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7</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vAlign w:val="center"/>
          </w:tcPr>
          <w:p w:rsidR="00745120" w:rsidRPr="00745120" w:rsidRDefault="00745120" w:rsidP="00745120">
            <w:pPr>
              <w:rPr>
                <w:color w:val="000000"/>
              </w:rPr>
            </w:pPr>
            <w:r w:rsidRPr="00745120">
              <w:rPr>
                <w:color w:val="000000"/>
              </w:rPr>
              <w:t>0</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43</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8</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67</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Greer</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21</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vAlign w:val="center"/>
          </w:tcPr>
          <w:p w:rsidR="00745120" w:rsidRPr="00745120" w:rsidRDefault="00745120" w:rsidP="00745120">
            <w:pPr>
              <w:rPr>
                <w:color w:val="000000"/>
              </w:rPr>
            </w:pPr>
            <w:r w:rsidRPr="00745120">
              <w:rPr>
                <w:color w:val="000000"/>
              </w:rPr>
              <w:t>1</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102</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8</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157</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Harmon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5</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vAlign w:val="center"/>
          </w:tcPr>
          <w:p w:rsidR="00745120" w:rsidRPr="00745120" w:rsidRDefault="00745120" w:rsidP="00745120">
            <w:pPr>
              <w:rPr>
                <w:color w:val="000000"/>
              </w:rPr>
            </w:pPr>
            <w:r w:rsidRPr="00745120">
              <w:rPr>
                <w:color w:val="000000"/>
              </w:rPr>
              <w:t>0</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53</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78</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Harper</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3</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0</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25</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7</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58</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Haskell</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107</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8</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11</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256</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12</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384</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Hughes</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63</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11</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14</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13</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252</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21</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411</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lastRenderedPageBreak/>
              <w:t>Jackson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53</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26</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11</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427</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23</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629</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Jefferson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6</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3</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89</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5</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115</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Johnston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27</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9</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203</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6</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259</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Kay</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153</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22</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16</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9</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728</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53</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1004</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Kingfisher</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22</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8</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12</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6</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133</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23</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203</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Kiowa</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46</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8</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163</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14</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241</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Latimer</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48</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9</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187</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21</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282</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proofErr w:type="spellStart"/>
            <w:r w:rsidRPr="00745120">
              <w:t>LeFlore</w:t>
            </w:r>
            <w:proofErr w:type="spellEnd"/>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160</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38</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86</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13</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1133</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37</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1473</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lastRenderedPageBreak/>
              <w:t>Lincoln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99</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540</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50</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716</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Logan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89</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4</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8</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420</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52</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597</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Love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13</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3</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176</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8</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216</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Major</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21</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3</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29</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72</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9</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165</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Marshall</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36</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7</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291</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18</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392</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Mayes</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117</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19</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21</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16</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682</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41</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959</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McClain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49</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13</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5</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502</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45</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672</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McCurtain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72</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33</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634</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52</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810</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lastRenderedPageBreak/>
              <w:t>McIntosh</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60</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19</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17</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445</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30</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593</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Murray</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58</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9</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44</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226</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30</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386</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Muskogee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122</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77</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201</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9</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1634</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116</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2,562</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Noble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18</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16</w:t>
            </w:r>
          </w:p>
        </w:tc>
        <w:tc>
          <w:tcPr>
            <w:tcW w:w="537" w:type="pct"/>
            <w:tcBorders>
              <w:top w:val="nil"/>
              <w:left w:val="nil"/>
              <w:bottom w:val="single" w:sz="4" w:space="0" w:color="auto"/>
              <w:right w:val="single" w:sz="4" w:space="0" w:color="auto"/>
            </w:tcBorders>
            <w:shd w:val="clear" w:color="auto" w:fill="auto"/>
            <w:vAlign w:val="center"/>
          </w:tcPr>
          <w:p w:rsidR="00745120" w:rsidRPr="00745120" w:rsidRDefault="00745120" w:rsidP="00745120">
            <w:pPr>
              <w:rPr>
                <w:color w:val="000000"/>
              </w:rPr>
            </w:pPr>
            <w:r w:rsidRPr="00745120">
              <w:rPr>
                <w:color w:val="000000"/>
              </w:rPr>
              <w:t>1</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168</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18</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244</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Nowata</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30</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11</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154</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18</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243</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Okfuskee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33</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8</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5</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273</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22</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364</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Oklahoma</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2300</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241</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65</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140</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12225</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870</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16,939</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Okmulgee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161</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16</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822</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57</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1,195</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lastRenderedPageBreak/>
              <w:t>Osage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124</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14</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17</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445</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55</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668</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Ottawa</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31</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10</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11</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5</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789</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35</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935</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Pawnee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41</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265</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26</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377</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Payne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128</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19</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5</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787</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92</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1,224</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Pittsburg</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222</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40</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29</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984</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64</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1,442</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Pontotoc</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153</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36</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32</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688</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39</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1,079</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Pottawatomie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200</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22</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5</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39</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1399</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79</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1,794</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lastRenderedPageBreak/>
              <w:t>Pushmataha</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59</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9</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4</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285</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20</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444</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Roger Mills</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8</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vAlign w:val="center"/>
          </w:tcPr>
          <w:p w:rsidR="00745120" w:rsidRPr="00745120" w:rsidRDefault="00745120" w:rsidP="00745120">
            <w:pPr>
              <w:rPr>
                <w:color w:val="000000"/>
              </w:rPr>
            </w:pPr>
            <w:r w:rsidRPr="00745120">
              <w:rPr>
                <w:color w:val="000000"/>
              </w:rPr>
              <w:t>1</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29</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6</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52</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Rogers</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178</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20</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13</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12</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860</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107</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1,374</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Seminole</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93</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12</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16</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555</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20</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669</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Sequoyah</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71</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26</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68</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9</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948</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52</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1,356</w:t>
            </w:r>
          </w:p>
        </w:tc>
      </w:tr>
      <w:tr w:rsidR="00745120" w:rsidRPr="00745120" w:rsidTr="00512BFD">
        <w:trPr>
          <w:cantSplit/>
          <w:trHeight w:val="249"/>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Stephens</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53</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24</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37</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847</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46</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1,035</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Texas</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12</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73</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114</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4</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217</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lastRenderedPageBreak/>
              <w:t>Tillman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8</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9</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vAlign w:val="center"/>
          </w:tcPr>
          <w:p w:rsidR="00745120" w:rsidRPr="00745120" w:rsidRDefault="00745120" w:rsidP="00745120">
            <w:pPr>
              <w:rPr>
                <w:color w:val="000000"/>
              </w:rPr>
            </w:pPr>
            <w:r w:rsidRPr="00745120">
              <w:rPr>
                <w:color w:val="000000"/>
              </w:rPr>
              <w:t>4</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156</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6</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196</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Tulsa</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1689</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268</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206</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100</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9099</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702</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13,217</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Wagoner</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89</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29</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18</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5</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541</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58</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798</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Washington</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128</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16</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790</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69</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1,027</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Washita</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37</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10</w:t>
            </w:r>
          </w:p>
        </w:tc>
        <w:tc>
          <w:tcPr>
            <w:tcW w:w="540"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8</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167</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15</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264</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Woods</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55</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3</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537" w:type="pct"/>
            <w:tcBorders>
              <w:top w:val="nil"/>
              <w:left w:val="nil"/>
              <w:bottom w:val="single" w:sz="4" w:space="0" w:color="auto"/>
              <w:right w:val="single" w:sz="4" w:space="0" w:color="auto"/>
            </w:tcBorders>
            <w:shd w:val="clear" w:color="auto" w:fill="auto"/>
            <w:vAlign w:val="center"/>
          </w:tcPr>
          <w:p w:rsidR="00745120" w:rsidRPr="00745120" w:rsidRDefault="00745120" w:rsidP="00745120">
            <w:pPr>
              <w:rPr>
                <w:color w:val="000000"/>
              </w:rPr>
            </w:pPr>
            <w:r w:rsidRPr="00745120">
              <w:rPr>
                <w:color w:val="000000"/>
              </w:rPr>
              <w:t>0</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77</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17</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167</w:t>
            </w:r>
          </w:p>
        </w:tc>
      </w:tr>
      <w:tr w:rsidR="00745120" w:rsidRPr="00745120" w:rsidTr="00512BFD">
        <w:trPr>
          <w:cantSplit/>
          <w:trHeight w:val="188"/>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Woodward</w:t>
            </w:r>
          </w:p>
        </w:tc>
        <w:tc>
          <w:tcPr>
            <w:tcW w:w="64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r w:rsidRPr="00745120">
              <w:t>51</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16</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2</w:t>
            </w:r>
          </w:p>
        </w:tc>
        <w:tc>
          <w:tcPr>
            <w:tcW w:w="537"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1</w:t>
            </w:r>
          </w:p>
        </w:tc>
        <w:tc>
          <w:tcPr>
            <w:tcW w:w="655" w:type="pct"/>
            <w:tcBorders>
              <w:top w:val="nil"/>
              <w:left w:val="nil"/>
              <w:bottom w:val="single" w:sz="4" w:space="0" w:color="auto"/>
              <w:right w:val="single" w:sz="4" w:space="0" w:color="auto"/>
            </w:tcBorders>
            <w:shd w:val="clear" w:color="auto" w:fill="auto"/>
            <w:noWrap/>
            <w:vAlign w:val="center"/>
          </w:tcPr>
          <w:p w:rsidR="00745120" w:rsidRPr="00745120" w:rsidRDefault="00745120" w:rsidP="00745120">
            <w:pPr>
              <w:rPr>
                <w:color w:val="000000"/>
              </w:rPr>
            </w:pPr>
            <w:r w:rsidRPr="00745120">
              <w:rPr>
                <w:color w:val="000000"/>
              </w:rPr>
              <w:t>206</w:t>
            </w:r>
          </w:p>
        </w:tc>
        <w:tc>
          <w:tcPr>
            <w:tcW w:w="603"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pPr>
              <w:rPr>
                <w:color w:val="000000"/>
              </w:rPr>
            </w:pPr>
            <w:r w:rsidRPr="00745120">
              <w:rPr>
                <w:color w:val="000000"/>
              </w:rPr>
              <w:t>25</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323</w:t>
            </w:r>
          </w:p>
        </w:tc>
      </w:tr>
      <w:tr w:rsidR="00745120" w:rsidRPr="00745120" w:rsidTr="00512BFD">
        <w:trPr>
          <w:cantSplit/>
          <w:trHeight w:val="64"/>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lastRenderedPageBreak/>
              <w:t>Out of State</w:t>
            </w:r>
          </w:p>
        </w:tc>
        <w:tc>
          <w:tcPr>
            <w:tcW w:w="645"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64</w:t>
            </w:r>
          </w:p>
        </w:tc>
        <w:tc>
          <w:tcPr>
            <w:tcW w:w="498" w:type="pct"/>
            <w:tcBorders>
              <w:top w:val="nil"/>
              <w:left w:val="nil"/>
              <w:bottom w:val="single" w:sz="4" w:space="0" w:color="auto"/>
              <w:right w:val="single" w:sz="4" w:space="0" w:color="auto"/>
            </w:tcBorders>
            <w:shd w:val="clear" w:color="auto" w:fill="auto"/>
            <w:noWrap/>
            <w:vAlign w:val="bottom"/>
          </w:tcPr>
          <w:p w:rsidR="00745120" w:rsidRPr="00745120" w:rsidRDefault="00745120" w:rsidP="00745120">
            <w:r w:rsidRPr="00745120">
              <w:t>12</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w:t>
            </w:r>
          </w:p>
        </w:tc>
        <w:tc>
          <w:tcPr>
            <w:tcW w:w="537" w:type="pct"/>
            <w:tcBorders>
              <w:top w:val="nil"/>
              <w:left w:val="nil"/>
              <w:bottom w:val="single" w:sz="4" w:space="0" w:color="auto"/>
              <w:right w:val="single" w:sz="4" w:space="0" w:color="auto"/>
            </w:tcBorders>
            <w:shd w:val="clear" w:color="auto" w:fill="auto"/>
            <w:vAlign w:val="center"/>
          </w:tcPr>
          <w:p w:rsidR="00745120" w:rsidRPr="00745120" w:rsidRDefault="00745120" w:rsidP="00745120">
            <w:pPr>
              <w:rPr>
                <w:color w:val="000000"/>
              </w:rPr>
            </w:pPr>
            <w:r w:rsidRPr="00745120">
              <w:rPr>
                <w:color w:val="000000"/>
              </w:rPr>
              <w:t>8</w:t>
            </w:r>
          </w:p>
        </w:tc>
        <w:tc>
          <w:tcPr>
            <w:tcW w:w="65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603"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0</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10</w:t>
            </w:r>
          </w:p>
        </w:tc>
      </w:tr>
      <w:tr w:rsidR="00745120" w:rsidRPr="00745120" w:rsidTr="00512BFD">
        <w:trPr>
          <w:cantSplit/>
          <w:trHeight w:val="235"/>
        </w:trPr>
        <w:tc>
          <w:tcPr>
            <w:tcW w:w="1058" w:type="pct"/>
            <w:tcBorders>
              <w:top w:val="nil"/>
              <w:left w:val="single" w:sz="4" w:space="0" w:color="auto"/>
              <w:bottom w:val="single" w:sz="4" w:space="0" w:color="auto"/>
              <w:right w:val="single" w:sz="4" w:space="0" w:color="auto"/>
            </w:tcBorders>
            <w:shd w:val="clear" w:color="auto" w:fill="auto"/>
            <w:hideMark/>
          </w:tcPr>
          <w:p w:rsidR="00745120" w:rsidRPr="00745120" w:rsidRDefault="00745120" w:rsidP="00745120">
            <w:r w:rsidRPr="00745120">
              <w:t>Total by Program:</w:t>
            </w:r>
          </w:p>
        </w:tc>
        <w:tc>
          <w:tcPr>
            <w:tcW w:w="64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9,904</w:t>
            </w:r>
          </w:p>
        </w:tc>
        <w:tc>
          <w:tcPr>
            <w:tcW w:w="498"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1,624</w:t>
            </w:r>
          </w:p>
        </w:tc>
        <w:tc>
          <w:tcPr>
            <w:tcW w:w="540"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1,238</w:t>
            </w:r>
          </w:p>
        </w:tc>
        <w:tc>
          <w:tcPr>
            <w:tcW w:w="537"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975</w:t>
            </w:r>
          </w:p>
        </w:tc>
        <w:tc>
          <w:tcPr>
            <w:tcW w:w="65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58,676</w:t>
            </w:r>
          </w:p>
        </w:tc>
        <w:tc>
          <w:tcPr>
            <w:tcW w:w="603"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4,456</w:t>
            </w:r>
          </w:p>
        </w:tc>
        <w:tc>
          <w:tcPr>
            <w:tcW w:w="465" w:type="pct"/>
            <w:tcBorders>
              <w:top w:val="nil"/>
              <w:left w:val="nil"/>
              <w:bottom w:val="single" w:sz="4" w:space="0" w:color="auto"/>
              <w:right w:val="single" w:sz="4" w:space="0" w:color="auto"/>
            </w:tcBorders>
            <w:shd w:val="clear" w:color="auto" w:fill="auto"/>
            <w:vAlign w:val="center"/>
          </w:tcPr>
          <w:p w:rsidR="00745120" w:rsidRPr="00745120" w:rsidRDefault="00745120" w:rsidP="00745120">
            <w:r w:rsidRPr="00745120">
              <w:t>82,787</w:t>
            </w:r>
          </w:p>
        </w:tc>
      </w:tr>
    </w:tbl>
    <w:p w:rsidR="00745120" w:rsidRDefault="00745120" w:rsidP="00745120">
      <w:pPr>
        <w:sectPr w:rsidR="00745120" w:rsidSect="00745120">
          <w:footerReference w:type="default" r:id="rId63"/>
          <w:pgSz w:w="15840" w:h="12240" w:orient="landscape"/>
          <w:pgMar w:top="720" w:right="720" w:bottom="720" w:left="720" w:header="720" w:footer="720" w:gutter="0"/>
          <w:cols w:space="720"/>
          <w:noEndnote/>
          <w:docGrid w:linePitch="598"/>
        </w:sectPr>
      </w:pPr>
    </w:p>
    <w:p w:rsidR="00745120" w:rsidRPr="00745120" w:rsidRDefault="00745120" w:rsidP="00745120">
      <w:r>
        <w:lastRenderedPageBreak/>
        <w:t xml:space="preserve">Graphic: </w:t>
      </w:r>
      <w:r w:rsidRPr="00745120">
        <w:t>DRS logo with the words empowering Oklahomans with disabilities in a circle around the logo.</w:t>
      </w:r>
    </w:p>
    <w:p w:rsidR="001633CF" w:rsidRPr="00745120" w:rsidRDefault="00745120" w:rsidP="00745120">
      <w:r>
        <w:t xml:space="preserve">DRS Pub. #20-01, </w:t>
      </w:r>
      <w:proofErr w:type="gramStart"/>
      <w:r>
        <w:t>Date:</w:t>
      </w:r>
      <w:proofErr w:type="gramEnd"/>
      <w:r>
        <w:t xml:space="preserve"> January 2020</w:t>
      </w:r>
      <w:r>
        <w:br/>
        <w:t xml:space="preserve">This publication is authorized by the Oklahoma Commission for Rehabilitation Services in accordance with state and federal regulations and printed by the Oklahoma </w:t>
      </w:r>
      <w:r>
        <w:br/>
        <w:t>Department of Rehabilitation Services at cost of $2,587.50 for 750 copies. This publication is available on the DRS website. DRS offices may request copies via IDRS. For additional copies, contact DRS Central Departmental Services at (405) 951-3400 or 800-845-8476 toll free.</w:t>
      </w:r>
      <w:bookmarkStart w:id="0" w:name="_GoBack"/>
      <w:bookmarkEnd w:id="0"/>
    </w:p>
    <w:sectPr w:rsidR="001633CF" w:rsidRPr="00745120" w:rsidSect="00745120">
      <w:footerReference w:type="default" r:id="rId64"/>
      <w:pgSz w:w="12240" w:h="15840"/>
      <w:pgMar w:top="720" w:right="720" w:bottom="720" w:left="720" w:header="720" w:footer="720" w:gutter="0"/>
      <w:cols w:space="720"/>
      <w:noEndnote/>
      <w:docGrid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EB4" w:rsidRDefault="005A6EB4" w:rsidP="00FB34DF">
      <w:pPr>
        <w:spacing w:before="0" w:line="240" w:lineRule="auto"/>
      </w:pPr>
      <w:r>
        <w:separator/>
      </w:r>
    </w:p>
  </w:endnote>
  <w:endnote w:type="continuationSeparator" w:id="0">
    <w:p w:rsidR="005A6EB4" w:rsidRDefault="005A6EB4" w:rsidP="00FB34D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News Gothic Std">
    <w:panose1 w:val="020B0506020203020204"/>
    <w:charset w:val="00"/>
    <w:family w:val="swiss"/>
    <w:notTrueType/>
    <w:pitch w:val="variable"/>
    <w:sig w:usb0="00000003" w:usb1="00000000" w:usb2="00000000" w:usb3="00000000" w:csb0="00000001" w:csb1="00000000"/>
  </w:font>
  <w:font w:name="Brandon Grotesque Bold">
    <w:altName w:val="Myriad Pro Black"/>
    <w:panose1 w:val="020B0803020203060202"/>
    <w:charset w:val="00"/>
    <w:family w:val="swiss"/>
    <w:notTrueType/>
    <w:pitch w:val="variable"/>
    <w:sig w:usb0="A00000AF" w:usb1="5000205B" w:usb2="00000000" w:usb3="00000000" w:csb0="0000009B" w:csb1="00000000"/>
  </w:font>
  <w:font w:name="Brandon Grotesque Regular">
    <w:panose1 w:val="020B0503020203060202"/>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5A</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5B</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5C</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6A</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6B</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6C</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7A</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7B</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7C</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8A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2A</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8B</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8C</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9A</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9B</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9C</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10A</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10B</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10C</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11A</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11B</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2B</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12A</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12B</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13</w:t>
    </w:r>
    <w:r w:rsidR="00817586">
      <w:t>A</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86" w:rsidRDefault="00817586">
    <w:pPr>
      <w:pStyle w:val="Footer"/>
    </w:pPr>
    <w:r>
      <w:t>Page 13B</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13C</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14A</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14B</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86" w:rsidRDefault="00817586">
    <w:pPr>
      <w:pStyle w:val="Footer"/>
    </w:pPr>
    <w:r>
      <w:t>Page 14C</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15A</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15B</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3A</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15C</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15D</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16A</w:t>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16B</w:t>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16C</w:t>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17A</w:t>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17B</w:t>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17C</w:t>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17D</w:t>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18A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3B</w: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18B</w: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19A</w:t>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19B</w: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19C</w:t>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20A</w:t>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20B</w:t>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B2C" w:rsidRDefault="00EF2B2C">
    <w:pPr>
      <w:pStyle w:val="Footer"/>
    </w:pPr>
    <w:r>
      <w:t>Page 21</w:t>
    </w:r>
    <w:r w:rsidR="00745120">
      <w:t>-23</w:t>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120" w:rsidRDefault="00745120">
    <w:pPr>
      <w:pStyle w:val="Footer"/>
    </w:pPr>
    <w:r>
      <w:t>Page 24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4A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4B</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4C</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38" w:rsidRDefault="008B4E38">
    <w:pPr>
      <w:pStyle w:val="Footer"/>
    </w:pPr>
    <w:r>
      <w:t>Page 4D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EB4" w:rsidRDefault="005A6EB4" w:rsidP="00FB34DF">
      <w:pPr>
        <w:spacing w:before="0" w:line="240" w:lineRule="auto"/>
      </w:pPr>
      <w:r>
        <w:separator/>
      </w:r>
    </w:p>
  </w:footnote>
  <w:footnote w:type="continuationSeparator" w:id="0">
    <w:p w:rsidR="005A6EB4" w:rsidRDefault="005A6EB4" w:rsidP="00FB34D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82DBA"/>
    <w:multiLevelType w:val="hybridMultilevel"/>
    <w:tmpl w:val="EDA6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C4343"/>
    <w:multiLevelType w:val="hybridMultilevel"/>
    <w:tmpl w:val="3CD2BC68"/>
    <w:lvl w:ilvl="0" w:tplc="8E7251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32"/>
    <w:rsid w:val="00054A3C"/>
    <w:rsid w:val="000E24FC"/>
    <w:rsid w:val="0010030B"/>
    <w:rsid w:val="00146831"/>
    <w:rsid w:val="001633CF"/>
    <w:rsid w:val="00346159"/>
    <w:rsid w:val="00416A2F"/>
    <w:rsid w:val="004931D8"/>
    <w:rsid w:val="004C3549"/>
    <w:rsid w:val="005A6EB4"/>
    <w:rsid w:val="005D0E47"/>
    <w:rsid w:val="006259C7"/>
    <w:rsid w:val="00626C37"/>
    <w:rsid w:val="00745120"/>
    <w:rsid w:val="00773188"/>
    <w:rsid w:val="007D6932"/>
    <w:rsid w:val="00817586"/>
    <w:rsid w:val="00835C4D"/>
    <w:rsid w:val="008B4E38"/>
    <w:rsid w:val="00913169"/>
    <w:rsid w:val="00A10332"/>
    <w:rsid w:val="00C77A71"/>
    <w:rsid w:val="00DE1BD7"/>
    <w:rsid w:val="00DE37D4"/>
    <w:rsid w:val="00EF2B2C"/>
    <w:rsid w:val="00F54C91"/>
    <w:rsid w:val="00FB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82F00"/>
  <w15:chartTrackingRefBased/>
  <w15:docId w15:val="{8EDE8332-FA25-47AA-8F6E-ECD1C00A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7D6932"/>
    <w:pPr>
      <w:spacing w:before="200" w:after="0"/>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LINE"/>
    <w:uiPriority w:val="1"/>
    <w:qFormat/>
    <w:rsid w:val="007D6932"/>
    <w:pPr>
      <w:spacing w:before="200" w:after="0" w:line="240" w:lineRule="auto"/>
    </w:pPr>
    <w:rPr>
      <w:rFonts w:ascii="Arial" w:hAnsi="Arial"/>
      <w:sz w:val="48"/>
    </w:rPr>
  </w:style>
  <w:style w:type="paragraph" w:customStyle="1" w:styleId="NoParagraphStyle">
    <w:name w:val="[No Paragraph Style]"/>
    <w:rsid w:val="00FB34D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FB34D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B34DF"/>
    <w:rPr>
      <w:rFonts w:ascii="Arial" w:hAnsi="Arial"/>
      <w:sz w:val="44"/>
    </w:rPr>
  </w:style>
  <w:style w:type="paragraph" w:styleId="Footer">
    <w:name w:val="footer"/>
    <w:basedOn w:val="Normal"/>
    <w:link w:val="FooterChar"/>
    <w:uiPriority w:val="99"/>
    <w:unhideWhenUsed/>
    <w:rsid w:val="00FB34D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B34DF"/>
    <w:rPr>
      <w:rFonts w:ascii="Arial" w:hAnsi="Arial"/>
      <w:sz w:val="44"/>
    </w:rPr>
  </w:style>
  <w:style w:type="paragraph" w:customStyle="1" w:styleId="Page2Factdetail">
    <w:name w:val="Page 2 Fact detail"/>
    <w:basedOn w:val="NoParagraphStyle"/>
    <w:uiPriority w:val="99"/>
    <w:rsid w:val="00FB34DF"/>
    <w:rPr>
      <w:rFonts w:ascii="News Gothic Std" w:hAnsi="News Gothic Std" w:cs="News Gothic Std"/>
      <w:sz w:val="28"/>
      <w:szCs w:val="28"/>
    </w:rPr>
  </w:style>
  <w:style w:type="paragraph" w:customStyle="1" w:styleId="Page2FactNumber">
    <w:name w:val="Page 2 Fact Number"/>
    <w:basedOn w:val="NoParagraphStyle"/>
    <w:uiPriority w:val="99"/>
    <w:rsid w:val="00FB34DF"/>
    <w:rPr>
      <w:rFonts w:ascii="Brandon Grotesque Bold" w:hAnsi="Brandon Grotesque Bold" w:cs="Brandon Grotesque Bold"/>
      <w:b/>
      <w:bCs/>
      <w:color w:val="D39F10"/>
      <w:sz w:val="120"/>
      <w:szCs w:val="120"/>
    </w:rPr>
  </w:style>
  <w:style w:type="paragraph" w:customStyle="1" w:styleId="StoryHeadlineGold">
    <w:name w:val="Story Headline Gold"/>
    <w:basedOn w:val="Normal"/>
    <w:uiPriority w:val="99"/>
    <w:rsid w:val="00773188"/>
    <w:pPr>
      <w:autoSpaceDE w:val="0"/>
      <w:autoSpaceDN w:val="0"/>
      <w:adjustRightInd w:val="0"/>
      <w:spacing w:before="0" w:line="288" w:lineRule="auto"/>
      <w:textAlignment w:val="center"/>
    </w:pPr>
    <w:rPr>
      <w:rFonts w:ascii="Brandon Grotesque Bold" w:hAnsi="Brandon Grotesque Bold" w:cs="Brandon Grotesque Bold"/>
      <w:b/>
      <w:bCs/>
      <w:color w:val="D39F10"/>
      <w:sz w:val="70"/>
      <w:szCs w:val="70"/>
    </w:rPr>
  </w:style>
  <w:style w:type="paragraph" w:customStyle="1" w:styleId="Annualreportbodycopywhite">
    <w:name w:val="Annual report body copy white"/>
    <w:basedOn w:val="Normal"/>
    <w:uiPriority w:val="99"/>
    <w:rsid w:val="00773188"/>
    <w:pPr>
      <w:suppressAutoHyphens/>
      <w:autoSpaceDE w:val="0"/>
      <w:autoSpaceDN w:val="0"/>
      <w:adjustRightInd w:val="0"/>
      <w:spacing w:before="160" w:line="260" w:lineRule="atLeast"/>
      <w:ind w:firstLine="240"/>
      <w:textAlignment w:val="center"/>
    </w:pPr>
    <w:rPr>
      <w:rFonts w:ascii="News Gothic Std" w:hAnsi="News Gothic Std" w:cs="News Gothic Std"/>
      <w:color w:val="FFFFFF"/>
      <w:sz w:val="24"/>
      <w:szCs w:val="24"/>
    </w:rPr>
  </w:style>
  <w:style w:type="paragraph" w:customStyle="1" w:styleId="Page3DRSsummarytop">
    <w:name w:val="Page 3 DRS summary top"/>
    <w:basedOn w:val="Normal"/>
    <w:uiPriority w:val="99"/>
    <w:rsid w:val="00773188"/>
    <w:pPr>
      <w:autoSpaceDE w:val="0"/>
      <w:autoSpaceDN w:val="0"/>
      <w:adjustRightInd w:val="0"/>
      <w:spacing w:before="0" w:line="260" w:lineRule="atLeast"/>
      <w:textAlignment w:val="center"/>
    </w:pPr>
    <w:rPr>
      <w:rFonts w:ascii="News Gothic Std" w:hAnsi="News Gothic Std" w:cs="News Gothic Std"/>
      <w:b/>
      <w:bCs/>
      <w:color w:val="000000"/>
      <w:sz w:val="24"/>
      <w:szCs w:val="24"/>
    </w:rPr>
  </w:style>
  <w:style w:type="paragraph" w:customStyle="1" w:styleId="DivisionHeader">
    <w:name w:val="Division Header"/>
    <w:basedOn w:val="Normal"/>
    <w:uiPriority w:val="99"/>
    <w:rsid w:val="00A10332"/>
    <w:pPr>
      <w:autoSpaceDE w:val="0"/>
      <w:autoSpaceDN w:val="0"/>
      <w:adjustRightInd w:val="0"/>
      <w:spacing w:before="0" w:line="288" w:lineRule="auto"/>
      <w:textAlignment w:val="center"/>
    </w:pPr>
    <w:rPr>
      <w:rFonts w:ascii="Brandon Grotesque Bold" w:hAnsi="Brandon Grotesque Bold" w:cs="Brandon Grotesque Bold"/>
      <w:b/>
      <w:bCs/>
      <w:color w:val="D39F10"/>
      <w:sz w:val="88"/>
      <w:szCs w:val="88"/>
    </w:rPr>
  </w:style>
  <w:style w:type="paragraph" w:customStyle="1" w:styleId="Page4CommissionerName">
    <w:name w:val="Page 4 Commissioner Name"/>
    <w:basedOn w:val="Normal"/>
    <w:uiPriority w:val="99"/>
    <w:rsid w:val="00A10332"/>
    <w:pPr>
      <w:autoSpaceDE w:val="0"/>
      <w:autoSpaceDN w:val="0"/>
      <w:adjustRightInd w:val="0"/>
      <w:spacing w:before="0" w:line="288" w:lineRule="auto"/>
      <w:textAlignment w:val="center"/>
    </w:pPr>
    <w:rPr>
      <w:rFonts w:ascii="Brandon Grotesque Bold" w:hAnsi="Brandon Grotesque Bold" w:cs="Brandon Grotesque Bold"/>
      <w:b/>
      <w:bCs/>
      <w:color w:val="002147"/>
      <w:sz w:val="48"/>
      <w:szCs w:val="48"/>
    </w:rPr>
  </w:style>
  <w:style w:type="paragraph" w:customStyle="1" w:styleId="Annualreportbodycopy">
    <w:name w:val="Annual report body copy"/>
    <w:basedOn w:val="NoParagraphStyle"/>
    <w:uiPriority w:val="99"/>
    <w:rsid w:val="00A10332"/>
    <w:pPr>
      <w:suppressAutoHyphens/>
      <w:spacing w:before="160" w:line="260" w:lineRule="atLeast"/>
      <w:ind w:firstLine="240"/>
    </w:pPr>
    <w:rPr>
      <w:rFonts w:ascii="News Gothic Std" w:hAnsi="News Gothic Std" w:cs="News Gothic Std"/>
    </w:rPr>
  </w:style>
  <w:style w:type="paragraph" w:customStyle="1" w:styleId="AR2019Headline">
    <w:name w:val="AR 2019 Headline"/>
    <w:basedOn w:val="Normal"/>
    <w:uiPriority w:val="99"/>
    <w:rsid w:val="00A10332"/>
    <w:pPr>
      <w:autoSpaceDE w:val="0"/>
      <w:autoSpaceDN w:val="0"/>
      <w:adjustRightInd w:val="0"/>
      <w:spacing w:before="0" w:line="288" w:lineRule="auto"/>
      <w:textAlignment w:val="center"/>
    </w:pPr>
    <w:rPr>
      <w:rFonts w:ascii="Brandon Grotesque Bold" w:hAnsi="Brandon Grotesque Bold" w:cs="Brandon Grotesque Bold"/>
      <w:b/>
      <w:bCs/>
      <w:color w:val="D39F10"/>
      <w:sz w:val="64"/>
      <w:szCs w:val="64"/>
    </w:rPr>
  </w:style>
  <w:style w:type="paragraph" w:customStyle="1" w:styleId="page5Directornameline">
    <w:name w:val="page 5 Director nameline"/>
    <w:basedOn w:val="Normal"/>
    <w:uiPriority w:val="99"/>
    <w:rsid w:val="00A10332"/>
    <w:pPr>
      <w:autoSpaceDE w:val="0"/>
      <w:autoSpaceDN w:val="0"/>
      <w:adjustRightInd w:val="0"/>
      <w:spacing w:before="0" w:line="288" w:lineRule="auto"/>
      <w:textAlignment w:val="center"/>
    </w:pPr>
    <w:rPr>
      <w:rFonts w:ascii="Brandon Grotesque Bold" w:hAnsi="Brandon Grotesque Bold" w:cs="Brandon Grotesque Bold"/>
      <w:b/>
      <w:bCs/>
      <w:color w:val="000000"/>
      <w:sz w:val="24"/>
      <w:szCs w:val="24"/>
    </w:rPr>
  </w:style>
  <w:style w:type="paragraph" w:customStyle="1" w:styleId="ImpactonOklahomansheader">
    <w:name w:val="Impact on Oklahomans header"/>
    <w:basedOn w:val="NoParagraphStyle"/>
    <w:uiPriority w:val="99"/>
    <w:rsid w:val="00C77A71"/>
    <w:rPr>
      <w:rFonts w:ascii="Brandon Grotesque Bold" w:hAnsi="Brandon Grotesque Bold" w:cs="Brandon Grotesque Bold"/>
      <w:b/>
      <w:bCs/>
      <w:color w:val="D39F10"/>
      <w:sz w:val="30"/>
      <w:szCs w:val="30"/>
    </w:rPr>
  </w:style>
  <w:style w:type="paragraph" w:customStyle="1" w:styleId="FinancialStatsheader">
    <w:name w:val="Financial Stats header"/>
    <w:basedOn w:val="ImpactonOklahomansheader"/>
    <w:uiPriority w:val="99"/>
    <w:rsid w:val="00C77A71"/>
    <w:rPr>
      <w:color w:val="002147"/>
      <w:sz w:val="48"/>
      <w:szCs w:val="48"/>
    </w:rPr>
  </w:style>
  <w:style w:type="paragraph" w:customStyle="1" w:styleId="Page6Financialtabletopheader">
    <w:name w:val="Page 6 Financial table top header"/>
    <w:basedOn w:val="Normal"/>
    <w:uiPriority w:val="99"/>
    <w:rsid w:val="00C77A71"/>
    <w:pPr>
      <w:autoSpaceDE w:val="0"/>
      <w:autoSpaceDN w:val="0"/>
      <w:adjustRightInd w:val="0"/>
      <w:spacing w:before="0" w:line="260" w:lineRule="atLeast"/>
      <w:jc w:val="center"/>
      <w:textAlignment w:val="center"/>
    </w:pPr>
    <w:rPr>
      <w:rFonts w:ascii="News Gothic Std" w:hAnsi="News Gothic Std" w:cs="News Gothic Std"/>
      <w:b/>
      <w:bCs/>
      <w:color w:val="0428F3"/>
      <w:sz w:val="24"/>
      <w:szCs w:val="24"/>
    </w:rPr>
  </w:style>
  <w:style w:type="paragraph" w:customStyle="1" w:styleId="page6FinancialdataHeader">
    <w:name w:val="page 6 Financial data Header"/>
    <w:basedOn w:val="ImpactonOklahomansheader"/>
    <w:uiPriority w:val="99"/>
    <w:rsid w:val="00C77A71"/>
    <w:pPr>
      <w:spacing w:line="260" w:lineRule="atLeast"/>
    </w:pPr>
    <w:rPr>
      <w:rFonts w:ascii="News Gothic Std" w:hAnsi="News Gothic Std" w:cs="News Gothic Std"/>
      <w:color w:val="0428F3"/>
      <w:sz w:val="24"/>
      <w:szCs w:val="24"/>
    </w:rPr>
  </w:style>
  <w:style w:type="paragraph" w:customStyle="1" w:styleId="Page6financialdata">
    <w:name w:val="Page 6 financial data"/>
    <w:basedOn w:val="page6FinancialdataHeader"/>
    <w:uiPriority w:val="99"/>
    <w:rsid w:val="00C77A71"/>
    <w:pPr>
      <w:jc w:val="right"/>
    </w:pPr>
    <w:rPr>
      <w:color w:val="000000"/>
    </w:rPr>
  </w:style>
  <w:style w:type="paragraph" w:customStyle="1" w:styleId="Page6FinancialDataBOLDtotal">
    <w:name w:val="Page 6 Financial Data BOLD total"/>
    <w:basedOn w:val="Page6financialdata"/>
    <w:uiPriority w:val="99"/>
    <w:rsid w:val="00C77A71"/>
  </w:style>
  <w:style w:type="paragraph" w:customStyle="1" w:styleId="DIVISIONHeaderGOLD">
    <w:name w:val="DIVISION Header GOLD"/>
    <w:basedOn w:val="NoParagraphStyle"/>
    <w:uiPriority w:val="99"/>
    <w:rsid w:val="004931D8"/>
    <w:rPr>
      <w:rFonts w:ascii="Brandon Grotesque Bold" w:hAnsi="Brandon Grotesque Bold" w:cs="Brandon Grotesque Bold"/>
      <w:b/>
      <w:bCs/>
      <w:color w:val="D39F10"/>
      <w:sz w:val="80"/>
      <w:szCs w:val="80"/>
    </w:rPr>
  </w:style>
  <w:style w:type="paragraph" w:customStyle="1" w:styleId="AR2019SectHeaderBodyCopy">
    <w:name w:val="AR 2019 Sect Header Body Copy"/>
    <w:basedOn w:val="Normal"/>
    <w:uiPriority w:val="99"/>
    <w:rsid w:val="004931D8"/>
    <w:pPr>
      <w:suppressAutoHyphens/>
      <w:autoSpaceDE w:val="0"/>
      <w:autoSpaceDN w:val="0"/>
      <w:adjustRightInd w:val="0"/>
      <w:spacing w:before="0" w:line="288" w:lineRule="auto"/>
      <w:textAlignment w:val="center"/>
    </w:pPr>
    <w:rPr>
      <w:rFonts w:ascii="Brandon Grotesque Bold" w:hAnsi="Brandon Grotesque Bold" w:cs="Brandon Grotesque Bold"/>
      <w:b/>
      <w:bCs/>
      <w:color w:val="FFFFFF"/>
      <w:sz w:val="24"/>
      <w:szCs w:val="24"/>
    </w:rPr>
  </w:style>
  <w:style w:type="paragraph" w:customStyle="1" w:styleId="SectionheaderMainDatafigure">
    <w:name w:val="Section header Main Data figure"/>
    <w:basedOn w:val="NoParagraphStyle"/>
    <w:uiPriority w:val="99"/>
    <w:rsid w:val="004931D8"/>
    <w:rPr>
      <w:rFonts w:ascii="Brandon Grotesque Bold" w:hAnsi="Brandon Grotesque Bold" w:cs="Brandon Grotesque Bold"/>
      <w:b/>
      <w:bCs/>
      <w:color w:val="D09E13"/>
      <w:sz w:val="120"/>
      <w:szCs w:val="120"/>
    </w:rPr>
  </w:style>
  <w:style w:type="paragraph" w:customStyle="1" w:styleId="SectionHeaderMainDataExplainer">
    <w:name w:val="Section Header Main Data Explainer"/>
    <w:basedOn w:val="Normal"/>
    <w:uiPriority w:val="99"/>
    <w:rsid w:val="004931D8"/>
    <w:pPr>
      <w:autoSpaceDE w:val="0"/>
      <w:autoSpaceDN w:val="0"/>
      <w:adjustRightInd w:val="0"/>
      <w:spacing w:before="0" w:line="288" w:lineRule="auto"/>
      <w:textAlignment w:val="center"/>
    </w:pPr>
    <w:rPr>
      <w:rFonts w:ascii="Brandon Grotesque Bold" w:hAnsi="Brandon Grotesque Bold" w:cs="Brandon Grotesque Bold"/>
      <w:b/>
      <w:bCs/>
      <w:color w:val="D39F10"/>
      <w:sz w:val="30"/>
      <w:szCs w:val="30"/>
    </w:rPr>
  </w:style>
  <w:style w:type="paragraph" w:customStyle="1" w:styleId="Sectionheaderminordata">
    <w:name w:val="Section header minor data"/>
    <w:basedOn w:val="NoParagraphStyle"/>
    <w:uiPriority w:val="99"/>
    <w:rsid w:val="004931D8"/>
    <w:pPr>
      <w:jc w:val="right"/>
    </w:pPr>
    <w:rPr>
      <w:rFonts w:ascii="Brandon Grotesque Bold" w:hAnsi="Brandon Grotesque Bold" w:cs="Brandon Grotesque Bold"/>
      <w:b/>
      <w:bCs/>
      <w:color w:val="D09E13"/>
      <w:sz w:val="60"/>
      <w:szCs w:val="60"/>
    </w:rPr>
  </w:style>
  <w:style w:type="paragraph" w:customStyle="1" w:styleId="SectionHeaderDataExplainer">
    <w:name w:val="Section Header Data Explainer"/>
    <w:basedOn w:val="NoParagraphStyle"/>
    <w:uiPriority w:val="99"/>
    <w:rsid w:val="004931D8"/>
    <w:rPr>
      <w:rFonts w:ascii="Brandon Grotesque Bold" w:hAnsi="Brandon Grotesque Bold" w:cs="Brandon Grotesque Bold"/>
      <w:b/>
      <w:bCs/>
      <w:color w:val="FFFFFF"/>
    </w:rPr>
  </w:style>
  <w:style w:type="paragraph" w:customStyle="1" w:styleId="AR2019HeadlineBlack">
    <w:name w:val="AR 2019 Headline Black"/>
    <w:basedOn w:val="AR2019Headline"/>
    <w:uiPriority w:val="99"/>
    <w:rsid w:val="004931D8"/>
    <w:rPr>
      <w:color w:val="000000"/>
      <w:sz w:val="60"/>
      <w:szCs w:val="60"/>
    </w:rPr>
  </w:style>
  <w:style w:type="paragraph" w:customStyle="1" w:styleId="SectionheaderDataHeader">
    <w:name w:val="Section header Data Header"/>
    <w:basedOn w:val="NoParagraphStyle"/>
    <w:uiPriority w:val="99"/>
    <w:rsid w:val="00054A3C"/>
    <w:rPr>
      <w:rFonts w:ascii="Brandon Grotesque Bold" w:hAnsi="Brandon Grotesque Bold" w:cs="Brandon Grotesque Bold"/>
      <w:b/>
      <w:bCs/>
      <w:color w:val="D39F10"/>
      <w:sz w:val="30"/>
      <w:szCs w:val="30"/>
    </w:rPr>
  </w:style>
  <w:style w:type="paragraph" w:customStyle="1" w:styleId="BasicParagraph">
    <w:name w:val="[Basic Paragraph]"/>
    <w:basedOn w:val="NoParagraphStyle"/>
    <w:uiPriority w:val="99"/>
    <w:rsid w:val="00054A3C"/>
  </w:style>
  <w:style w:type="paragraph" w:customStyle="1" w:styleId="AR2019Headlinelight">
    <w:name w:val="AR 2019 Headline light"/>
    <w:basedOn w:val="AR2019HeadlineBlack"/>
    <w:uiPriority w:val="99"/>
    <w:rsid w:val="004C3549"/>
    <w:rPr>
      <w:rFonts w:ascii="Brandon Grotesque Regular" w:hAnsi="Brandon Grotesque Regular" w:cs="Brandon Grotesque Regular"/>
    </w:rPr>
  </w:style>
  <w:style w:type="paragraph" w:styleId="ListParagraph">
    <w:name w:val="List Paragraph"/>
    <w:basedOn w:val="Normal"/>
    <w:uiPriority w:val="34"/>
    <w:qFormat/>
    <w:rsid w:val="004C3549"/>
    <w:pPr>
      <w:ind w:left="720"/>
      <w:contextualSpacing/>
    </w:pPr>
  </w:style>
  <w:style w:type="paragraph" w:customStyle="1" w:styleId="Page20Legendcopy">
    <w:name w:val="Page 20 Legend copy"/>
    <w:basedOn w:val="NoParagraphStyle"/>
    <w:uiPriority w:val="99"/>
    <w:rsid w:val="00626C37"/>
    <w:pPr>
      <w:spacing w:line="240" w:lineRule="atLeast"/>
    </w:pPr>
    <w:rPr>
      <w:rFonts w:ascii="News Gothic Std" w:hAnsi="News Gothic Std" w:cs="News Gothic Std"/>
      <w:sz w:val="20"/>
      <w:szCs w:val="20"/>
    </w:rPr>
  </w:style>
  <w:style w:type="paragraph" w:customStyle="1" w:styleId="Page20Empowering">
    <w:name w:val="Page 20 Empowering"/>
    <w:basedOn w:val="AR2019Headline"/>
    <w:uiPriority w:val="99"/>
    <w:rsid w:val="00626C37"/>
    <w:pPr>
      <w:spacing w:line="720" w:lineRule="atLeast"/>
      <w:jc w:val="center"/>
    </w:pPr>
    <w:rPr>
      <w:sz w:val="72"/>
      <w:szCs w:val="72"/>
    </w:rPr>
  </w:style>
  <w:style w:type="paragraph" w:customStyle="1" w:styleId="Backtableheader">
    <w:name w:val="Back table header"/>
    <w:basedOn w:val="Normal"/>
    <w:uiPriority w:val="99"/>
    <w:rsid w:val="008B4E38"/>
    <w:pPr>
      <w:suppressAutoHyphens/>
      <w:autoSpaceDE w:val="0"/>
      <w:autoSpaceDN w:val="0"/>
      <w:adjustRightInd w:val="0"/>
      <w:spacing w:before="0" w:line="260" w:lineRule="atLeast"/>
      <w:jc w:val="center"/>
      <w:textAlignment w:val="center"/>
    </w:pPr>
    <w:rPr>
      <w:rFonts w:ascii="Brandon Grotesque Bold" w:hAnsi="Brandon Grotesque Bold" w:cs="Brandon Grotesque Bold"/>
      <w:b/>
      <w:bCs/>
      <w:color w:val="000000"/>
      <w:sz w:val="24"/>
      <w:szCs w:val="24"/>
    </w:rPr>
  </w:style>
  <w:style w:type="paragraph" w:customStyle="1" w:styleId="ConstituentData">
    <w:name w:val="Constituent Data"/>
    <w:basedOn w:val="Normal"/>
    <w:uiPriority w:val="99"/>
    <w:rsid w:val="008B4E38"/>
    <w:pPr>
      <w:suppressAutoHyphens/>
      <w:autoSpaceDE w:val="0"/>
      <w:autoSpaceDN w:val="0"/>
      <w:adjustRightInd w:val="0"/>
      <w:spacing w:before="0" w:line="260" w:lineRule="atLeast"/>
      <w:textAlignment w:val="center"/>
    </w:pPr>
    <w:rPr>
      <w:rFonts w:ascii="News Gothic Std" w:hAnsi="News Gothic Std" w:cs="News Gothic Std"/>
      <w:b/>
      <w:bCs/>
      <w:color w:val="000000"/>
      <w:sz w:val="22"/>
    </w:rPr>
  </w:style>
  <w:style w:type="paragraph" w:customStyle="1" w:styleId="ConstituentDatacentered">
    <w:name w:val="Constituent Data centered"/>
    <w:basedOn w:val="Normal"/>
    <w:uiPriority w:val="99"/>
    <w:rsid w:val="008B4E38"/>
    <w:pPr>
      <w:suppressAutoHyphens/>
      <w:autoSpaceDE w:val="0"/>
      <w:autoSpaceDN w:val="0"/>
      <w:adjustRightInd w:val="0"/>
      <w:spacing w:before="0" w:line="240" w:lineRule="atLeast"/>
      <w:jc w:val="center"/>
      <w:textAlignment w:val="center"/>
    </w:pPr>
    <w:rPr>
      <w:rFonts w:ascii="News Gothic Std" w:hAnsi="News Gothic Std" w:cs="News Gothic Std"/>
      <w:b/>
      <w:bCs/>
      <w:color w:val="000000"/>
      <w:sz w:val="22"/>
    </w:rPr>
  </w:style>
  <w:style w:type="paragraph" w:styleId="PlainText">
    <w:name w:val="Plain Text"/>
    <w:basedOn w:val="Normal"/>
    <w:link w:val="PlainTextChar"/>
    <w:uiPriority w:val="99"/>
    <w:semiHidden/>
    <w:unhideWhenUsed/>
    <w:rsid w:val="00EF2B2C"/>
    <w:pPr>
      <w:spacing w:before="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EF2B2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25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40.xml"/><Relationship Id="rId50" Type="http://schemas.openxmlformats.org/officeDocument/2006/relationships/footer" Target="footer43.xml"/><Relationship Id="rId55" Type="http://schemas.openxmlformats.org/officeDocument/2006/relationships/footer" Target="footer48.xml"/><Relationship Id="rId63" Type="http://schemas.openxmlformats.org/officeDocument/2006/relationships/footer" Target="footer5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footer" Target="footer34.xml"/><Relationship Id="rId54" Type="http://schemas.openxmlformats.org/officeDocument/2006/relationships/footer" Target="footer47.xml"/><Relationship Id="rId62" Type="http://schemas.openxmlformats.org/officeDocument/2006/relationships/footer" Target="footer5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3" Type="http://schemas.openxmlformats.org/officeDocument/2006/relationships/footer" Target="footer46.xml"/><Relationship Id="rId58" Type="http://schemas.openxmlformats.org/officeDocument/2006/relationships/footer" Target="footer51.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57" Type="http://schemas.openxmlformats.org/officeDocument/2006/relationships/footer" Target="footer50.xml"/><Relationship Id="rId61" Type="http://schemas.openxmlformats.org/officeDocument/2006/relationships/footer" Target="footer54.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footer" Target="footer45.xml"/><Relationship Id="rId60" Type="http://schemas.openxmlformats.org/officeDocument/2006/relationships/footer" Target="footer5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oter" Target="footer41.xml"/><Relationship Id="rId56" Type="http://schemas.openxmlformats.org/officeDocument/2006/relationships/footer" Target="footer49.xml"/><Relationship Id="rId64" Type="http://schemas.openxmlformats.org/officeDocument/2006/relationships/footer" Target="footer57.xml"/><Relationship Id="rId8" Type="http://schemas.openxmlformats.org/officeDocument/2006/relationships/footer" Target="footer1.xml"/><Relationship Id="rId51" Type="http://schemas.openxmlformats.org/officeDocument/2006/relationships/footer" Target="footer44.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59" Type="http://schemas.openxmlformats.org/officeDocument/2006/relationships/footer" Target="foot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C6D4D-49EE-4E4C-AD20-025B252D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67</Pages>
  <Words>6038</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7</cp:revision>
  <dcterms:created xsi:type="dcterms:W3CDTF">2020-01-30T18:57:00Z</dcterms:created>
  <dcterms:modified xsi:type="dcterms:W3CDTF">2020-01-31T15:01:00Z</dcterms:modified>
</cp:coreProperties>
</file>