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742A" w14:textId="77777777" w:rsidR="00F93461" w:rsidRPr="00FC7C68" w:rsidRDefault="00F93461" w:rsidP="00F934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RULE IMPACT STATEMENT</w:t>
      </w:r>
    </w:p>
    <w:p w14:paraId="32021339" w14:textId="77777777" w:rsidR="00F93461" w:rsidRDefault="00F93461" w:rsidP="00F93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325. OKLAHOMA HORSE RACING COMMISSION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4A852BE" w14:textId="77777777" w:rsidR="00F93461" w:rsidRPr="00FC7C68" w:rsidRDefault="00F93461" w:rsidP="00F93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CHAPTER 75. OKLAHOMA-BRED PROGRAM</w:t>
      </w:r>
    </w:p>
    <w:p w14:paraId="187AFF1E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(A) PURPOSE OF THE PROPOSED RULE: The proposed amendment clarifies procedures and fee requirements when ownership of an accredited Oklahoma-Bred horse changes, including for horses that have earned awards.</w:t>
      </w:r>
    </w:p>
    <w:p w14:paraId="4199EF4D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(B) CLASSES OF PERSONS WHO MOST LIKELY WILL BE AFFECTED BY THE PROPOSED RULE AND ANY INFORMATION ON COST IMPACTS RECEIVED BY THE AGENCY FROM ANY PRIVATE OR PUBLIC ENTITIES:</w:t>
      </w:r>
    </w:p>
    <w:p w14:paraId="497E28CD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proposed rules affect horse owners in the Oklahoma-Bred program. No cost impacts have been received to date.</w:t>
      </w:r>
    </w:p>
    <w:p w14:paraId="07F0136C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(C) PERSONS WHO WILL BENEFIT FROM THE PROPOSED RULE:</w:t>
      </w:r>
    </w:p>
    <w:p w14:paraId="2025CCA2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Owners benefit from clearer transfer processes.</w:t>
      </w:r>
    </w:p>
    <w:p w14:paraId="652837BE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(D) DESCRIPTION OF THE PROBABLE IMPACT OF THE PROPOSED RULE UPON AFFECTED CLASSES OF PERSONS:</w:t>
      </w:r>
    </w:p>
    <w:p w14:paraId="52EF6C82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Minor fee clarification ($25 transfer). LOFT factors: No significant costs. Time: 1 hour at $40/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= $40. Methodology: Low impact per program scale.</w:t>
      </w:r>
    </w:p>
    <w:p w14:paraId="46229410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(E) PROBABLE COST AND BENEFITS TO AGENCY; SOURCE OF REVENUE FOR IMPLEMENTATION AND ENFORCEMENT OF THE PROPOSED RULE:</w:t>
      </w:r>
    </w:p>
    <w:p w14:paraId="379705AD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No cost;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benefits efficiency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C18BD9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(F) DETERMINATION OF WHETHER IMPLEMENTATION WILL HAVE ANY ECONOMIC IMPACT ON ANY POLITICAL SUBDIVISION OR REQUIRE THEIR COOPERATION IN IMPLEMENTING OR ENFORCING THE PROPOSED RULE:</w:t>
      </w:r>
    </w:p>
    <w:p w14:paraId="171EE10C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 effect.</w:t>
      </w:r>
    </w:p>
    <w:p w14:paraId="16AC3B57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(G) DETERMINATION OF WHETHER IMPLEMENTATION OF THE PROPOSED RULE WILL HAVE AN ADVERSE EFFECT ON SMALL BUSINESS AS PROVIDED BY THE OKLAHOMA SMALL BUSINESS REGULATORY FLEXIBILITY ACT:</w:t>
      </w:r>
    </w:p>
    <w:p w14:paraId="686D3200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 adverse effect.</w:t>
      </w:r>
    </w:p>
    <w:p w14:paraId="40240916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(H) DETERMINATION OF WHETHER THERE ARE LESS COSTLY METHODS OR NON-REGULATORY METHODS FOR ACHIEVING THE PURPOSE OF THE PROPOSED RULES:</w:t>
      </w:r>
    </w:p>
    <w:p w14:paraId="417D57BA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None needed.</w:t>
      </w:r>
    </w:p>
    <w:p w14:paraId="009B4008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(I) DETERMINATION OF THE EFFECT OF THE PROPOSED RULE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5EF434FE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Neutral.</w:t>
      </w:r>
    </w:p>
    <w:p w14:paraId="59A1D60E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(J) DETERMINATION OF ANY DETRIMENTAL EFFECT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309DBDF7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None.</w:t>
      </w:r>
    </w:p>
    <w:p w14:paraId="2E8D6F45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(K) DATE RULE IMPACT STATEMENT WAS PREPARED:</w:t>
      </w:r>
    </w:p>
    <w:p w14:paraId="02F268EF" w14:textId="77777777" w:rsidR="00F93461" w:rsidRPr="00FC7C68" w:rsidRDefault="00F93461" w:rsidP="00F9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This rule impact statement was prepared on November 25, 2025.</w:t>
      </w:r>
    </w:p>
    <w:p w14:paraId="2684530A" w14:textId="77777777" w:rsidR="009B2514" w:rsidRDefault="009B2514"/>
    <w:sectPr w:rsidR="009B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61"/>
    <w:rsid w:val="009B2514"/>
    <w:rsid w:val="00B64D9A"/>
    <w:rsid w:val="00E20ECA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71A6"/>
  <w15:chartTrackingRefBased/>
  <w15:docId w15:val="{4ED8DD02-C786-4419-8C74-4EDB76B1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61"/>
  </w:style>
  <w:style w:type="paragraph" w:styleId="Heading1">
    <w:name w:val="heading 1"/>
    <w:basedOn w:val="Normal"/>
    <w:next w:val="Normal"/>
    <w:link w:val="Heading1Char"/>
    <w:uiPriority w:val="9"/>
    <w:qFormat/>
    <w:rsid w:val="00F93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Morgan</dc:creator>
  <cp:keywords/>
  <dc:description/>
  <cp:lastModifiedBy>Shane Morgan</cp:lastModifiedBy>
  <cp:revision>1</cp:revision>
  <dcterms:created xsi:type="dcterms:W3CDTF">2025-12-23T17:13:00Z</dcterms:created>
  <dcterms:modified xsi:type="dcterms:W3CDTF">2025-12-23T17:14:00Z</dcterms:modified>
</cp:coreProperties>
</file>