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DCA8" w14:textId="77777777" w:rsidR="004F0FD2" w:rsidRPr="00FC7C68" w:rsidRDefault="004F0FD2" w:rsidP="004F0FD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RULE IMPACT STATEMENT</w:t>
      </w:r>
    </w:p>
    <w:p w14:paraId="0A0BE10A" w14:textId="77777777" w:rsidR="004F0FD2" w:rsidRDefault="004F0FD2" w:rsidP="004F0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 325. OKLAHOMA HORSE RACING COMMISSION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4C50578" w14:textId="77777777" w:rsidR="004F0FD2" w:rsidRPr="00FC7C68" w:rsidRDefault="004F0FD2" w:rsidP="004F0F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CHAPTER 15. OCCUPATION LICENSING</w:t>
      </w:r>
    </w:p>
    <w:p w14:paraId="156F6EFD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(A) PURPOSE OF THE PROPOSED RULE: The proposed amendments and new rules strengthen conflict-of-interest prohibitions and disclosure requirements for organization licensees and occupation licensees, add definitions (including “companion,” “household,” “similar relationship”), prohibit certain relationships with horsemen’s groups, establish a comprehensive licensing and operational framework for non-pari-mutuel training facilities, and make other clarifying changes to enhance integrity and regulatory oversight.</w:t>
      </w:r>
    </w:p>
    <w:p w14:paraId="6F01A1B2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(B) CLASSES OF PERSONS WHO MOST LIKELY WILL BE AFFECTED BY THE PROPOSED RULE AND ANY INFORMATION ON COST IMPACTS RECEIVED BY THE AGENCY FROM ANY PRIVATE OR PUBLIC ENTITIES:</w:t>
      </w:r>
    </w:p>
    <w:p w14:paraId="2CA515F0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The proposed rules affect organization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licensees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(3 licensed racetracks), occupation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licensees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(approx. 8,000 total), and operators of non-pari-mutuel training facilities (estimated </w:t>
      </w:r>
      <w:r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statewide). No cost impacts have been received to date.</w:t>
      </w:r>
    </w:p>
    <w:p w14:paraId="54475DCC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(C) PERSONS WHO WILL BENEFIT FROM THE PROPOSED RULE:</w:t>
      </w:r>
    </w:p>
    <w:p w14:paraId="50E62B22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Persons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who engage in the business of horse racing or place wagers on horse races in Oklahoma will benefit from enhanced industry integrity, reduced conflicts, and safer training standards.</w:t>
      </w:r>
    </w:p>
    <w:p w14:paraId="291190E5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(D) DESCRIPTION OF THE PROBABLE IMPACT OF THE PROPOSED RULE UPON AFFECTED CLASSES OF PERSONS:</w:t>
      </w:r>
    </w:p>
    <w:p w14:paraId="21F056FE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Affected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persons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will need to submit updated disclosures for conflicts (one-time) and, for training facilities, obtain licenses and meet physical/operational standards, potentially requiring upgrades or inspections. LOFT factors: </w:t>
      </w:r>
      <w:r>
        <w:rPr>
          <w:rFonts w:ascii="Times New Roman" w:eastAsia="Times New Roman" w:hAnsi="Times New Roman" w:cs="Times New Roman"/>
          <w:kern w:val="0"/>
          <w14:ligatures w14:val="none"/>
        </w:rPr>
        <w:t>Although already required by statute, the rule enforcement m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ay require facility improvements; no new land, major capital equipment, changes to goods/services, training materials updates, increased fees (no new fees specified in rules), travel, obsolete materials disposal, discontinued products, or price increases. Consultants (e.g., lawyers) may be needed for initial compliance review ($200/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for 4 hours = $800 one-time per entity). No recruitment difficulties or competitive disadvantages anticipated. Time for compliance: Owners/managers ~8 hours one-time at $40/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= $320; trainers/employees ~2 hours at $25/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= $50. Assuming 3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organization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licensees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11 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training facilities, total industry cost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is speculative at this point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. Methodology: Entity counts from OHRC data (3 racetracks) and industry estimates (training facilities based on OK horse industry reports indicating </w:t>
      </w:r>
      <w:r>
        <w:rPr>
          <w:rFonts w:ascii="Times New Roman" w:eastAsia="Times New Roman" w:hAnsi="Times New Roman" w:cs="Times New Roman"/>
          <w:kern w:val="0"/>
          <w14:ligatures w14:val="none"/>
        </w:rPr>
        <w:t>11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non-pari-mutuel operations); wages from BLS for animal trainers ($25/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) and farm/ranch managers ($40/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) in OK; costs extrapolated from similar regulatory implementations in other states, with one-time focus per LOFT; no ongoing costs beyond routine licensing.</w:t>
      </w:r>
    </w:p>
    <w:p w14:paraId="1C4611C9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(E) PROBABLE COST AND BENEFITS TO AGENCY; SOURCE OF REVENUE FOR IMPLEMENTATION AND ENFORCEMENT OF THE PROPOSED RULE:</w:t>
      </w:r>
    </w:p>
    <w:p w14:paraId="472518BF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Agency costs: ~$10,000 annually for new inspections/enforcement (staff time 200 hours at $30/</w:t>
      </w:r>
      <w:proofErr w:type="spell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hr</w:t>
      </w:r>
      <w:proofErr w:type="spell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+ travel). Benefits: Improved oversight and integrity</w:t>
      </w:r>
      <w:r>
        <w:rPr>
          <w:rFonts w:ascii="Times New Roman" w:eastAsia="Times New Roman" w:hAnsi="Times New Roman" w:cs="Times New Roman"/>
          <w:kern w:val="0"/>
          <w14:ligatures w14:val="none"/>
        </w:rPr>
        <w:t>, compliance with statute</w:t>
      </w: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. Funded from existing revolving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fund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; no new revenue or impact on other governmental entities.</w:t>
      </w:r>
    </w:p>
    <w:p w14:paraId="75333139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(F) DETERMINATION OF WHETHER IMPLEMENTATION WILL HAVE ANY ECONOMIC IMPACT ON ANY POLITICAL SUBDIVISION OR REQUIRE THEIR COOPERATION IN IMPLEMENTING OR ENFORCING THE PROPOSED RULE:</w:t>
      </w:r>
    </w:p>
    <w:p w14:paraId="47F44FBE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Minimal cooperation may be needed from local governments for facility inspections, but no significant economic impact (under $5,000 total).</w:t>
      </w:r>
    </w:p>
    <w:p w14:paraId="02A40591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(G) DETERMINATION OF WHETHER IMPLEMENTATION OF THE PROPOSED RULE WILL HAVE AN ADVERSE EFFECT ON SMALL BUSINESS AS PROVIDED BY THE OKLAHOMA SMALL BUSINESS REGULATORY FLEXIBILITY ACT:</w:t>
      </w:r>
    </w:p>
    <w:p w14:paraId="69764179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Potential adverse effect on small training facilities due to one-time compliance costs, but overall low (under $1 million over five years; not a major rule under REINS Act); mitigated by phased rollout.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These rules will be less costly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then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compliance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than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the statutory status quo.</w:t>
      </w:r>
    </w:p>
    <w:p w14:paraId="78BAA8D4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(H) DETERMINATION OF WHETHER THERE ARE LESS COSTLY METHODS OR NON-REGULATORY METHODS FOR ACHIEVING THE PURPOSE OF THE PROPOSED RULES:</w:t>
      </w:r>
    </w:p>
    <w:p w14:paraId="2BEBD71C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Measures to minimize costs include no new fees and voluntary disclosures. No less costly methods identified, as licensing is essential for safety and integrity per statute.</w:t>
      </w:r>
    </w:p>
    <w:p w14:paraId="11A81E06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(I) DETERMINATION OF THE EFFECT OF THE PROPOSED RULE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79947F47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Positive effect on safety through standardized training facilities and reduced conflicts; no environmental impact.</w:t>
      </w:r>
    </w:p>
    <w:p w14:paraId="50E3C259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(J) DETERMINATION OF ANY DETRIMENTAL EFFECT ON </w:t>
      </w:r>
      <w:proofErr w:type="gramStart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THE PUBLIC</w:t>
      </w:r>
      <w:proofErr w:type="gramEnd"/>
      <w:r w:rsidRPr="00FC7C68">
        <w:rPr>
          <w:rFonts w:ascii="Times New Roman" w:eastAsia="Times New Roman" w:hAnsi="Times New Roman" w:cs="Times New Roman"/>
          <w:kern w:val="0"/>
          <w14:ligatures w14:val="none"/>
        </w:rPr>
        <w:t xml:space="preserve"> HEALTH, SAFETY, AND ENVIRONMENT:</w:t>
      </w:r>
    </w:p>
    <w:p w14:paraId="4CA3BE67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None anticipated.</w:t>
      </w:r>
    </w:p>
    <w:p w14:paraId="40CC48BD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(K) DATE RULE IMPACT STATEMENT WAS PREPARED:</w:t>
      </w:r>
    </w:p>
    <w:p w14:paraId="780F53E6" w14:textId="77777777" w:rsidR="004F0FD2" w:rsidRPr="00FC7C68" w:rsidRDefault="004F0FD2" w:rsidP="004F0F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C7C68">
        <w:rPr>
          <w:rFonts w:ascii="Times New Roman" w:eastAsia="Times New Roman" w:hAnsi="Times New Roman" w:cs="Times New Roman"/>
          <w:kern w:val="0"/>
          <w14:ligatures w14:val="none"/>
        </w:rPr>
        <w:t>This rule impact statement was prepared on November 25, 2025.</w:t>
      </w:r>
    </w:p>
    <w:p w14:paraId="214BB98C" w14:textId="7F128534" w:rsidR="009B2514" w:rsidRDefault="004F0FD2" w:rsidP="004F0FD2">
      <w:r>
        <w:rPr>
          <w:rFonts w:ascii="Times New Roman" w:eastAsia="Times New Roman" w:hAnsi="Times New Roman" w:cs="Times New Roman"/>
          <w:kern w:val="0"/>
          <w14:ligatures w14:val="none"/>
        </w:rPr>
        <w:pict w14:anchorId="0601B69A">
          <v:rect id="_x0000_i1025" style="width:0;height:1.5pt" o:hralign="center" o:hrstd="t" o:hr="t" fillcolor="#a0a0a0" stroked="f"/>
        </w:pict>
      </w:r>
    </w:p>
    <w:sectPr w:rsidR="009B25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FD2"/>
    <w:rsid w:val="004F0FD2"/>
    <w:rsid w:val="009B2514"/>
    <w:rsid w:val="00B64D9A"/>
    <w:rsid w:val="00E2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475C1"/>
  <w15:chartTrackingRefBased/>
  <w15:docId w15:val="{AEF6C477-4472-41E7-9999-072BA7F4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FD2"/>
  </w:style>
  <w:style w:type="paragraph" w:styleId="Heading1">
    <w:name w:val="heading 1"/>
    <w:basedOn w:val="Normal"/>
    <w:next w:val="Normal"/>
    <w:link w:val="Heading1Char"/>
    <w:uiPriority w:val="9"/>
    <w:qFormat/>
    <w:rsid w:val="004F0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695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Morgan</dc:creator>
  <cp:keywords/>
  <dc:description/>
  <cp:lastModifiedBy>Shane Morgan</cp:lastModifiedBy>
  <cp:revision>1</cp:revision>
  <dcterms:created xsi:type="dcterms:W3CDTF">2025-12-23T17:09:00Z</dcterms:created>
  <dcterms:modified xsi:type="dcterms:W3CDTF">2025-12-23T17:09:00Z</dcterms:modified>
</cp:coreProperties>
</file>