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D522" w14:textId="6D956E6E" w:rsidR="004C10CF" w:rsidRDefault="00D76471">
      <w:r>
        <w:rPr>
          <w:noProof/>
        </w:rPr>
        <w:drawing>
          <wp:inline distT="0" distB="0" distL="0" distR="0" wp14:anchorId="5EDFEA31" wp14:editId="15976F4C">
            <wp:extent cx="1861185" cy="1083310"/>
            <wp:effectExtent l="0" t="0" r="5715" b="2540"/>
            <wp:docPr id="548664950" name="Picture 1" descr="A blue and white logo with a sta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 with a star&#10;&#10;AI-generated content may be incorrect.,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1185" cy="1083310"/>
                    </a:xfrm>
                    <a:prstGeom prst="rect">
                      <a:avLst/>
                    </a:prstGeom>
                    <a:noFill/>
                    <a:ln>
                      <a:noFill/>
                    </a:ln>
                  </pic:spPr>
                </pic:pic>
              </a:graphicData>
            </a:graphic>
          </wp:inline>
        </w:drawing>
      </w:r>
    </w:p>
    <w:p w14:paraId="09E2395B" w14:textId="77777777" w:rsidR="00241047" w:rsidRDefault="00241047" w:rsidP="00241047">
      <w:pPr>
        <w:jc w:val="center"/>
        <w:rPr>
          <w:b/>
          <w:bCs/>
        </w:rPr>
      </w:pPr>
    </w:p>
    <w:p w14:paraId="4DA6F6EA" w14:textId="677B8D22" w:rsidR="00CD23C0" w:rsidRPr="004F4B33" w:rsidRDefault="00CD23C0" w:rsidP="00241047">
      <w:pPr>
        <w:jc w:val="center"/>
        <w:rPr>
          <w:b/>
          <w:bCs/>
          <w:sz w:val="28"/>
          <w:szCs w:val="28"/>
        </w:rPr>
      </w:pPr>
      <w:r w:rsidRPr="004F4B33">
        <w:rPr>
          <w:b/>
          <w:bCs/>
          <w:sz w:val="28"/>
          <w:szCs w:val="28"/>
        </w:rPr>
        <w:t>SAMPLE - Budget Narrative – SAMPLE</w:t>
      </w:r>
    </w:p>
    <w:p w14:paraId="64433893" w14:textId="77777777" w:rsidR="00CD23C0" w:rsidRPr="00245DED" w:rsidRDefault="00CD23C0" w:rsidP="004F4B33">
      <w:pPr>
        <w:pStyle w:val="Heading2"/>
      </w:pPr>
      <w:r w:rsidRPr="00245DED">
        <w:t>Project Description</w:t>
      </w:r>
    </w:p>
    <w:p w14:paraId="0EA5E61C" w14:textId="77777777" w:rsidR="00241047" w:rsidRDefault="00241047" w:rsidP="00241047">
      <w:r w:rsidRPr="00241047">
        <w:t>This Infrastructure Retrofit project aims to enhance the operational efficiency and reliability of the pump station in the Town of Oklahoma. The project includes various components such as site work, concrete and structural work, valve installation, piping, emergency bypass pump installation, electrical systems, and engineering services.</w:t>
      </w:r>
    </w:p>
    <w:p w14:paraId="352D1F5D" w14:textId="48B62493" w:rsidR="00CD23C0" w:rsidRPr="004F4B33" w:rsidRDefault="00CD23C0" w:rsidP="004F4B33">
      <w:pPr>
        <w:pStyle w:val="Heading2"/>
      </w:pPr>
      <w:r w:rsidRPr="004F4B33">
        <w:t xml:space="preserve">Cost Share </w:t>
      </w:r>
    </w:p>
    <w:p w14:paraId="2B42AAA2" w14:textId="46BF1008" w:rsidR="00CD23C0" w:rsidRDefault="00241047" w:rsidP="00CD23C0">
      <w:r>
        <w:t>The</w:t>
      </w:r>
      <w:r w:rsidR="00CD23C0" w:rsidRPr="00CD23C0">
        <w:t xml:space="preserve"> cost share for the project is 75% federal share and 25% local share. </w:t>
      </w:r>
    </w:p>
    <w:p w14:paraId="1B76F0CC" w14:textId="46A7B7CA" w:rsidR="00CD23C0" w:rsidRPr="004F4B33" w:rsidRDefault="00CD23C0" w:rsidP="004F4B33">
      <w:pPr>
        <w:pStyle w:val="Heading2"/>
      </w:pPr>
      <w:r w:rsidRPr="004F4B33">
        <w:t>Subrecipient Management Costs</w:t>
      </w:r>
    </w:p>
    <w:p w14:paraId="59B7EE75" w14:textId="77777777" w:rsidR="00CD23C0" w:rsidRPr="00CD23C0" w:rsidRDefault="00CD23C0" w:rsidP="00241047">
      <w:proofErr w:type="spellStart"/>
      <w:r w:rsidRPr="00CD23C0">
        <w:t>Subapplicants</w:t>
      </w:r>
      <w:proofErr w:type="spellEnd"/>
      <w:r w:rsidRPr="00CD23C0">
        <w:t xml:space="preserve"> may submit up to 5% of the total budget for management costs. The total budget refers to the sum of non-federal and federal shares of the hazard mitigation project. </w:t>
      </w:r>
      <w:proofErr w:type="spellStart"/>
      <w:r w:rsidRPr="00CD23C0">
        <w:t>Subapplicants</w:t>
      </w:r>
      <w:proofErr w:type="spellEnd"/>
      <w:r w:rsidRPr="00CD23C0">
        <w:t xml:space="preserve"> must use </w:t>
      </w:r>
      <w:proofErr w:type="spellStart"/>
      <w:r w:rsidRPr="00CD23C0">
        <w:t>subapplicant</w:t>
      </w:r>
      <w:proofErr w:type="spellEnd"/>
      <w:r w:rsidRPr="00CD23C0">
        <w:t xml:space="preserve"> management costs to manage their subaward activities.</w:t>
      </w:r>
    </w:p>
    <w:p w14:paraId="470BAB6A" w14:textId="77777777" w:rsidR="00CD23C0" w:rsidRPr="00CD23C0" w:rsidRDefault="00CD23C0" w:rsidP="00241047">
      <w:r w:rsidRPr="00CD23C0">
        <w:t>Management costs are governed by section 324 of the Stafford Act (42 U.S.C. § 5165b). Management costs are any indirect costs, any direct administrative costs, and other administrative expenses that are reasonably incurred in administering an award or subaward.</w:t>
      </w:r>
    </w:p>
    <w:p w14:paraId="38190A33" w14:textId="77777777" w:rsidR="00241047" w:rsidRPr="00241047" w:rsidRDefault="00241047" w:rsidP="00241047">
      <w:r w:rsidRPr="00241047">
        <w:t xml:space="preserve">The total cost for this project is $872,025. The Town of Oklahoma is requesting the maximum 5% of the total project costs, which </w:t>
      </w:r>
      <w:proofErr w:type="gramStart"/>
      <w:r w:rsidRPr="00241047">
        <w:t>is</w:t>
      </w:r>
      <w:proofErr w:type="gramEnd"/>
      <w:r w:rsidRPr="00241047">
        <w:t xml:space="preserve"> $43,601.25, as management costs for the Infrastructure Retrofit Project. The Town of Oklahoma intends to utilize this $43,601.25 in management costs to cover the following eligible and allowable management activities:</w:t>
      </w:r>
    </w:p>
    <w:p w14:paraId="76CAB02B" w14:textId="77777777" w:rsidR="00241047" w:rsidRPr="00241047" w:rsidRDefault="00241047" w:rsidP="00241047">
      <w:pPr>
        <w:pStyle w:val="ListParagraph"/>
        <w:numPr>
          <w:ilvl w:val="0"/>
          <w:numId w:val="5"/>
        </w:numPr>
      </w:pPr>
      <w:r w:rsidRPr="00241047">
        <w:t>Project progress meetings</w:t>
      </w:r>
    </w:p>
    <w:p w14:paraId="58D54ECA" w14:textId="77777777" w:rsidR="00241047" w:rsidRPr="00241047" w:rsidRDefault="00241047" w:rsidP="00241047">
      <w:pPr>
        <w:pStyle w:val="ListParagraph"/>
        <w:numPr>
          <w:ilvl w:val="0"/>
          <w:numId w:val="5"/>
        </w:numPr>
      </w:pPr>
      <w:r w:rsidRPr="00241047">
        <w:t>Coordination with stakeholders</w:t>
      </w:r>
    </w:p>
    <w:p w14:paraId="0A3C8E40" w14:textId="77777777" w:rsidR="00241047" w:rsidRPr="00241047" w:rsidRDefault="00241047" w:rsidP="00241047">
      <w:pPr>
        <w:pStyle w:val="ListParagraph"/>
        <w:numPr>
          <w:ilvl w:val="0"/>
          <w:numId w:val="5"/>
        </w:numPr>
      </w:pPr>
      <w:r w:rsidRPr="00241047">
        <w:t>Quarterly reporting</w:t>
      </w:r>
    </w:p>
    <w:p w14:paraId="727F73E5" w14:textId="5029F22F" w:rsidR="00CD23C0" w:rsidRDefault="00241047" w:rsidP="00241047">
      <w:pPr>
        <w:pStyle w:val="ListParagraph"/>
        <w:numPr>
          <w:ilvl w:val="0"/>
          <w:numId w:val="5"/>
        </w:numPr>
      </w:pPr>
      <w:r w:rsidRPr="00241047">
        <w:t>Financial tracking and reimbursement request preparation</w:t>
      </w:r>
    </w:p>
    <w:p w14:paraId="39502184" w14:textId="4223CD15" w:rsidR="00CD23C0" w:rsidRPr="004F4B33" w:rsidRDefault="00CD23C0" w:rsidP="004F4B33">
      <w:pPr>
        <w:pStyle w:val="Heading2"/>
      </w:pPr>
      <w:r w:rsidRPr="004F4B33">
        <w:lastRenderedPageBreak/>
        <w:t>Source of Cost Data</w:t>
      </w:r>
    </w:p>
    <w:p w14:paraId="5ED6FAC5" w14:textId="77777777" w:rsidR="00CD23C0" w:rsidRDefault="00CD23C0" w:rsidP="00CD23C0">
      <w:r>
        <w:t>Project costs are estimated in accordance with FEMA guidance that all costs are necessary, reasonable, and allocable consistent with the provisions of 2 CFR Part 200. This includes the following:</w:t>
      </w:r>
    </w:p>
    <w:p w14:paraId="7BE51BAD" w14:textId="77777777" w:rsidR="00CD23C0" w:rsidRDefault="00CD23C0" w:rsidP="00CD23C0">
      <w:pPr>
        <w:pStyle w:val="ListParagraph"/>
        <w:numPr>
          <w:ilvl w:val="0"/>
          <w:numId w:val="4"/>
        </w:numPr>
      </w:pPr>
      <w:r w:rsidRPr="00CD23C0">
        <w:rPr>
          <w:b/>
          <w:bCs/>
        </w:rPr>
        <w:t>Material and Labor Costs</w:t>
      </w:r>
      <w:r>
        <w:t>: Estimates for material and labor costs were generated by a licensed design professional following a thorough desktop analysis and site visit. Costs are sourced from local quotes, engineering expertise, and previous similar projects.</w:t>
      </w:r>
    </w:p>
    <w:p w14:paraId="035DC12E" w14:textId="1F63B59C" w:rsidR="00CD23C0" w:rsidRDefault="00CD23C0" w:rsidP="00CD23C0">
      <w:pPr>
        <w:pStyle w:val="ListParagraph"/>
        <w:numPr>
          <w:ilvl w:val="0"/>
          <w:numId w:val="4"/>
        </w:numPr>
      </w:pPr>
      <w:r w:rsidRPr="00CD23C0">
        <w:rPr>
          <w:b/>
          <w:bCs/>
        </w:rPr>
        <w:t>Subrecipient Management Costs</w:t>
      </w:r>
      <w:r>
        <w:t>: Allowable management costs reflect a 5 percent fee based on total project costs.</w:t>
      </w:r>
    </w:p>
    <w:p w14:paraId="2EE092CD" w14:textId="373B9206" w:rsidR="00CD23C0" w:rsidRPr="004F4B33" w:rsidRDefault="00CD23C0" w:rsidP="004F4B33">
      <w:pPr>
        <w:pStyle w:val="Heading2"/>
      </w:pPr>
      <w:r w:rsidRPr="004F4B33">
        <w:t>Budget Summary</w:t>
      </w:r>
    </w:p>
    <w:p w14:paraId="2D8031A1" w14:textId="77777777" w:rsidR="000E3A63" w:rsidRPr="000E3A63" w:rsidRDefault="000E3A63" w:rsidP="00241047">
      <w:r w:rsidRPr="000E3A63">
        <w:t xml:space="preserve">This budget narrative provides a breakdown of the estimated costs for each component of the above referenced project, including construction, engineering, and management expenses. The </w:t>
      </w:r>
      <w:proofErr w:type="gramStart"/>
      <w:r w:rsidRPr="000E3A63">
        <w:t>line-item</w:t>
      </w:r>
      <w:proofErr w:type="gramEnd"/>
      <w:r w:rsidRPr="000E3A63">
        <w:t xml:space="preserve"> highlights the allocation of funds and justifies the budgetary decisions made for the project.</w:t>
      </w:r>
    </w:p>
    <w:p w14:paraId="11C91A14" w14:textId="69FA9CF9" w:rsidR="000E3A63" w:rsidRPr="00241047" w:rsidRDefault="000E3A63" w:rsidP="00241047">
      <w:pPr>
        <w:rPr>
          <w:b/>
          <w:bCs/>
        </w:rPr>
      </w:pPr>
      <w:r w:rsidRPr="00241047">
        <w:rPr>
          <w:b/>
          <w:bCs/>
        </w:rPr>
        <w:t>Site Work / Demolition / Pavement / Cleanup ($100,000.00):</w:t>
      </w:r>
      <w:r w:rsidR="00241047">
        <w:rPr>
          <w:b/>
          <w:bCs/>
        </w:rPr>
        <w:t xml:space="preserve"> </w:t>
      </w:r>
      <w:r w:rsidRPr="000E3A63">
        <w:t>This allocation covers the costs associated with preparing the site for the installation of the backup pump. It includes demolition, excavation, grading, and general site cleanup.</w:t>
      </w:r>
    </w:p>
    <w:p w14:paraId="0CE1A059" w14:textId="0EAEA593" w:rsidR="000E3A63" w:rsidRPr="000E3A63" w:rsidRDefault="000E3A63" w:rsidP="00241047">
      <w:r w:rsidRPr="00241047">
        <w:rPr>
          <w:b/>
          <w:bCs/>
        </w:rPr>
        <w:t>Concrete / Structural / Dewatering ($125,000.00):</w:t>
      </w:r>
      <w:r w:rsidR="00241047">
        <w:rPr>
          <w:b/>
          <w:bCs/>
        </w:rPr>
        <w:t xml:space="preserve"> </w:t>
      </w:r>
      <w:r w:rsidRPr="000E3A63">
        <w:t>This portion of the budget is designated for concrete work related to constructing the backup pump. and any necessary structural elements. Additionally, it includes expenses for dewatering systems to manage groundwater during construction.</w:t>
      </w:r>
    </w:p>
    <w:p w14:paraId="54E74BC5" w14:textId="33CE0094" w:rsidR="000E3A63" w:rsidRPr="00241047" w:rsidRDefault="000E3A63" w:rsidP="00241047">
      <w:pPr>
        <w:rPr>
          <w:b/>
          <w:bCs/>
        </w:rPr>
      </w:pPr>
      <w:r w:rsidRPr="00241047">
        <w:rPr>
          <w:b/>
          <w:bCs/>
        </w:rPr>
        <w:t>Valves (Plug Valves / Air Release Valve) ($50,000.00):</w:t>
      </w:r>
      <w:r w:rsidR="00241047">
        <w:rPr>
          <w:b/>
          <w:bCs/>
        </w:rPr>
        <w:t xml:space="preserve"> </w:t>
      </w:r>
      <w:r w:rsidRPr="000E3A63">
        <w:t>Funds are allocated for purchasing and installing plug valves and air release valves necessary for the efficient operation of the backup pump.</w:t>
      </w:r>
    </w:p>
    <w:p w14:paraId="25A6814A" w14:textId="6C15DD72" w:rsidR="000E3A63" w:rsidRPr="00241047" w:rsidRDefault="000E3A63" w:rsidP="00241047">
      <w:pPr>
        <w:rPr>
          <w:b/>
          <w:bCs/>
        </w:rPr>
      </w:pPr>
      <w:r w:rsidRPr="00241047">
        <w:rPr>
          <w:b/>
          <w:bCs/>
        </w:rPr>
        <w:t>Piping (Fabricated DIP / Stainless Steel / HDPE) ($75,000.00):</w:t>
      </w:r>
      <w:r w:rsidR="00241047">
        <w:rPr>
          <w:b/>
          <w:bCs/>
        </w:rPr>
        <w:t xml:space="preserve"> </w:t>
      </w:r>
      <w:r w:rsidRPr="000E3A63">
        <w:t>This category covers the procurement and installation of various types of piping, including fabricated ductile iron pipe (DIP), stainless steel, and high-density polyethylene (HDPE).</w:t>
      </w:r>
    </w:p>
    <w:p w14:paraId="572AFAE5" w14:textId="1CE65CBF" w:rsidR="000E3A63" w:rsidRPr="00241047" w:rsidRDefault="000E3A63" w:rsidP="00241047">
      <w:pPr>
        <w:rPr>
          <w:b/>
          <w:bCs/>
        </w:rPr>
      </w:pPr>
      <w:r w:rsidRPr="00241047">
        <w:rPr>
          <w:b/>
          <w:bCs/>
        </w:rPr>
        <w:t>Concrete Coring / Sealing ($20,000.00)</w:t>
      </w:r>
      <w:proofErr w:type="gramStart"/>
      <w:r w:rsidRPr="00241047">
        <w:rPr>
          <w:b/>
          <w:bCs/>
        </w:rPr>
        <w:t>:</w:t>
      </w:r>
      <w:r w:rsidR="00241047">
        <w:rPr>
          <w:b/>
          <w:bCs/>
        </w:rPr>
        <w:t xml:space="preserve">  </w:t>
      </w:r>
      <w:r w:rsidRPr="000E3A63">
        <w:t>Funds</w:t>
      </w:r>
      <w:proofErr w:type="gramEnd"/>
      <w:r w:rsidRPr="000E3A63">
        <w:t xml:space="preserve"> are earmarked for concrete coring and sealing activities, which are necessary for accommodating piping and equipment connections within existing structures.</w:t>
      </w:r>
    </w:p>
    <w:p w14:paraId="0CFA7074" w14:textId="0700BE18" w:rsidR="000E3A63" w:rsidRPr="00241047" w:rsidRDefault="000E3A63" w:rsidP="00241047">
      <w:pPr>
        <w:rPr>
          <w:b/>
          <w:bCs/>
        </w:rPr>
      </w:pPr>
      <w:r w:rsidRPr="00241047">
        <w:rPr>
          <w:b/>
          <w:bCs/>
        </w:rPr>
        <w:t>Emergency By-Pass Pump ($300,000.00):</w:t>
      </w:r>
      <w:r w:rsidR="00241047">
        <w:rPr>
          <w:b/>
          <w:bCs/>
        </w:rPr>
        <w:t xml:space="preserve"> </w:t>
      </w:r>
      <w:r w:rsidRPr="000E3A63">
        <w:t xml:space="preserve">A significant portion of the budget is allocated for acquiring and installing an emergency bypass pump system. This system ensures </w:t>
      </w:r>
      <w:r w:rsidRPr="000E3A63">
        <w:lastRenderedPageBreak/>
        <w:t>continuous operation of the pump station during unforeseen events, mitigating potential disruptions in service.</w:t>
      </w:r>
    </w:p>
    <w:p w14:paraId="52FF9886" w14:textId="407DDB2F" w:rsidR="000E3A63" w:rsidRPr="000E3A63" w:rsidRDefault="000E3A63" w:rsidP="00241047">
      <w:r w:rsidRPr="00241047">
        <w:rPr>
          <w:b/>
          <w:bCs/>
        </w:rPr>
        <w:t>Electrical / Transfer / SCADA ($85,000.00):</w:t>
      </w:r>
      <w:r w:rsidR="00241047">
        <w:rPr>
          <w:b/>
          <w:bCs/>
        </w:rPr>
        <w:t xml:space="preserve"> </w:t>
      </w:r>
      <w:r w:rsidRPr="000E3A63">
        <w:t>This allocation encompasses expenses associated with electrical work, including wiring, transfer switches, and Supervisory</w:t>
      </w:r>
      <w:r w:rsidR="00241047">
        <w:t xml:space="preserve"> </w:t>
      </w:r>
      <w:r w:rsidRPr="000E3A63">
        <w:t>Control and Data Acquisition (SCADA) systems essential for monitoring and controlling the pump station remotely.</w:t>
      </w:r>
    </w:p>
    <w:p w14:paraId="1A316D1C" w14:textId="5959D750" w:rsidR="000E3A63" w:rsidRPr="00241047" w:rsidRDefault="000E3A63" w:rsidP="00241047">
      <w:pPr>
        <w:rPr>
          <w:b/>
          <w:bCs/>
        </w:rPr>
      </w:pPr>
      <w:r w:rsidRPr="00241047">
        <w:rPr>
          <w:b/>
          <w:bCs/>
        </w:rPr>
        <w:t>Engineering Services ($75,500.00):</w:t>
      </w:r>
      <w:r w:rsidR="00241047">
        <w:rPr>
          <w:b/>
          <w:bCs/>
        </w:rPr>
        <w:t xml:space="preserve"> </w:t>
      </w:r>
      <w:r w:rsidRPr="000E3A63">
        <w:t>Engineering for overseeing the construction of the pump station, including feasibility studies, design development, and construction management.</w:t>
      </w:r>
    </w:p>
    <w:p w14:paraId="554EE3CD" w14:textId="77777777" w:rsidR="000E3A63" w:rsidRPr="000E3A63" w:rsidRDefault="000E3A63" w:rsidP="00241047">
      <w:r w:rsidRPr="00241047">
        <w:rPr>
          <w:b/>
          <w:bCs/>
        </w:rPr>
        <w:t>Subtotal:</w:t>
      </w:r>
      <w:r w:rsidRPr="000E3A63">
        <w:t xml:space="preserve"> $830,500.00</w:t>
      </w:r>
    </w:p>
    <w:p w14:paraId="08790438" w14:textId="77777777" w:rsidR="000E3A63" w:rsidRPr="000E3A63" w:rsidRDefault="000E3A63" w:rsidP="00241047">
      <w:r w:rsidRPr="00241047">
        <w:rPr>
          <w:b/>
          <w:bCs/>
        </w:rPr>
        <w:t>Contingencies (5%) ($41,525.00):</w:t>
      </w:r>
      <w:r w:rsidRPr="000E3A63">
        <w:t xml:space="preserve"> Cannot be over 5%.</w:t>
      </w:r>
    </w:p>
    <w:p w14:paraId="25A38F91" w14:textId="77777777" w:rsidR="000E3A63" w:rsidRPr="000E3A63" w:rsidRDefault="000E3A63" w:rsidP="00241047">
      <w:r w:rsidRPr="000E3A63">
        <w:t>A contingency fund is included to address any unforeseen expenses or changes in project scope that may arise during construction, ensuring that the project stays within budget without delays</w:t>
      </w:r>
    </w:p>
    <w:p w14:paraId="16E60D4B" w14:textId="77777777" w:rsidR="000E3A63" w:rsidRPr="000E3A63" w:rsidRDefault="000E3A63" w:rsidP="00241047">
      <w:r w:rsidRPr="00241047">
        <w:rPr>
          <w:b/>
          <w:bCs/>
        </w:rPr>
        <w:t>TOTAL Estimated Construction Cost:</w:t>
      </w:r>
      <w:r w:rsidRPr="000E3A63">
        <w:t xml:space="preserve"> $872,025.00</w:t>
      </w:r>
    </w:p>
    <w:p w14:paraId="1F7A678D" w14:textId="0B76CBF8" w:rsidR="00CD23C0" w:rsidRPr="00241047" w:rsidRDefault="000E3A63" w:rsidP="00241047">
      <w:pPr>
        <w:rPr>
          <w:b/>
          <w:bCs/>
        </w:rPr>
      </w:pPr>
      <w:r w:rsidRPr="00241047">
        <w:rPr>
          <w:b/>
          <w:bCs/>
        </w:rPr>
        <w:t>Management Cost 5% ($43,601.25):</w:t>
      </w:r>
      <w:r w:rsidR="00241047">
        <w:rPr>
          <w:b/>
          <w:bCs/>
        </w:rPr>
        <w:t xml:space="preserve"> </w:t>
      </w:r>
      <w:r w:rsidRPr="000E3A63">
        <w:t xml:space="preserve">*May </w:t>
      </w:r>
      <w:proofErr w:type="gramStart"/>
      <w:r w:rsidRPr="000E3A63">
        <w:t>not be</w:t>
      </w:r>
      <w:proofErr w:type="gramEnd"/>
      <w:r w:rsidRPr="000E3A63">
        <w:t xml:space="preserve"> applicable for all projects. Management costs cover administrative expenses related to the project. Discuss the management costs for the project here by line-item.</w:t>
      </w:r>
    </w:p>
    <w:sectPr w:rsidR="00CD23C0" w:rsidRPr="0024104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A0A1" w14:textId="77777777" w:rsidR="00D76471" w:rsidRDefault="00D76471" w:rsidP="00D76471">
      <w:pPr>
        <w:spacing w:after="0" w:line="240" w:lineRule="auto"/>
      </w:pPr>
      <w:r>
        <w:separator/>
      </w:r>
    </w:p>
  </w:endnote>
  <w:endnote w:type="continuationSeparator" w:id="0">
    <w:p w14:paraId="60C38742" w14:textId="77777777" w:rsidR="00D76471" w:rsidRDefault="00D76471" w:rsidP="00D7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077722"/>
      <w:docPartObj>
        <w:docPartGallery w:val="Page Numbers (Bottom of Page)"/>
        <w:docPartUnique/>
      </w:docPartObj>
    </w:sdtPr>
    <w:sdtEndPr>
      <w:rPr>
        <w:color w:val="7F7F7F" w:themeColor="background1" w:themeShade="7F"/>
        <w:spacing w:val="60"/>
      </w:rPr>
    </w:sdtEndPr>
    <w:sdtContent>
      <w:p w14:paraId="7DC9C38A" w14:textId="38CD1CC9" w:rsidR="00D76471" w:rsidRDefault="00D76471">
        <w:pPr>
          <w:pStyle w:val="Footer"/>
          <w:pBdr>
            <w:top w:val="single" w:sz="4" w:space="1" w:color="D9D9D9" w:themeColor="background1" w:themeShade="D9"/>
          </w:pBdr>
          <w:rPr>
            <w:b/>
            <w:bCs/>
          </w:rPr>
        </w:pPr>
        <w:r w:rsidRPr="00D76471">
          <w:rPr>
            <w:sz w:val="18"/>
            <w:szCs w:val="18"/>
          </w:rPr>
          <w:fldChar w:fldCharType="begin"/>
        </w:r>
        <w:r w:rsidRPr="00D76471">
          <w:rPr>
            <w:sz w:val="18"/>
            <w:szCs w:val="18"/>
          </w:rPr>
          <w:instrText xml:space="preserve"> PAGE   \* MERGEFORMAT </w:instrText>
        </w:r>
        <w:r w:rsidRPr="00D76471">
          <w:rPr>
            <w:sz w:val="18"/>
            <w:szCs w:val="18"/>
          </w:rPr>
          <w:fldChar w:fldCharType="separate"/>
        </w:r>
        <w:r w:rsidRPr="00D76471">
          <w:rPr>
            <w:b/>
            <w:bCs/>
            <w:noProof/>
            <w:sz w:val="18"/>
            <w:szCs w:val="18"/>
          </w:rPr>
          <w:t>2</w:t>
        </w:r>
        <w:r w:rsidRPr="00D76471">
          <w:rPr>
            <w:b/>
            <w:bCs/>
            <w:noProof/>
            <w:sz w:val="18"/>
            <w:szCs w:val="18"/>
          </w:rPr>
          <w:fldChar w:fldCharType="end"/>
        </w:r>
        <w:r w:rsidRPr="00D76471">
          <w:rPr>
            <w:b/>
            <w:bCs/>
            <w:sz w:val="18"/>
            <w:szCs w:val="18"/>
          </w:rPr>
          <w:t xml:space="preserve"> | </w:t>
        </w:r>
        <w:r w:rsidRPr="00D76471">
          <w:rPr>
            <w:color w:val="7F7F7F" w:themeColor="background1" w:themeShade="7F"/>
            <w:spacing w:val="60"/>
            <w:sz w:val="18"/>
            <w:szCs w:val="18"/>
          </w:rPr>
          <w:t>Page</w:t>
        </w:r>
      </w:p>
    </w:sdtContent>
  </w:sdt>
  <w:p w14:paraId="6A63E1DE" w14:textId="77777777" w:rsidR="00D76471" w:rsidRDefault="00D7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1FC6" w14:textId="77777777" w:rsidR="00D76471" w:rsidRDefault="00D76471" w:rsidP="00D76471">
      <w:pPr>
        <w:spacing w:after="0" w:line="240" w:lineRule="auto"/>
      </w:pPr>
      <w:r>
        <w:separator/>
      </w:r>
    </w:p>
  </w:footnote>
  <w:footnote w:type="continuationSeparator" w:id="0">
    <w:p w14:paraId="6A7B00BC" w14:textId="77777777" w:rsidR="00D76471" w:rsidRDefault="00D76471" w:rsidP="00D76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014"/>
    <w:multiLevelType w:val="hybridMultilevel"/>
    <w:tmpl w:val="F430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70054"/>
    <w:multiLevelType w:val="hybridMultilevel"/>
    <w:tmpl w:val="935A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05D4C"/>
    <w:multiLevelType w:val="hybridMultilevel"/>
    <w:tmpl w:val="CDD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55482"/>
    <w:multiLevelType w:val="hybridMultilevel"/>
    <w:tmpl w:val="20BC24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E42E9A"/>
    <w:multiLevelType w:val="hybridMultilevel"/>
    <w:tmpl w:val="1D42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629455">
    <w:abstractNumId w:val="1"/>
  </w:num>
  <w:num w:numId="2" w16cid:durableId="1191410793">
    <w:abstractNumId w:val="3"/>
  </w:num>
  <w:num w:numId="3" w16cid:durableId="1865361953">
    <w:abstractNumId w:val="4"/>
  </w:num>
  <w:num w:numId="4" w16cid:durableId="326717463">
    <w:abstractNumId w:val="2"/>
  </w:num>
  <w:num w:numId="5" w16cid:durableId="17126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C0"/>
    <w:rsid w:val="000E3A63"/>
    <w:rsid w:val="002302F3"/>
    <w:rsid w:val="00241047"/>
    <w:rsid w:val="004C10CF"/>
    <w:rsid w:val="004F4B33"/>
    <w:rsid w:val="005B4C3E"/>
    <w:rsid w:val="00CD23C0"/>
    <w:rsid w:val="00D7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B4E3"/>
  <w15:chartTrackingRefBased/>
  <w15:docId w15:val="{8D573FD0-A9B9-4D8B-8FA8-43DA5108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2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2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3C0"/>
    <w:rPr>
      <w:rFonts w:eastAsiaTheme="majorEastAsia" w:cstheme="majorBidi"/>
      <w:color w:val="272727" w:themeColor="text1" w:themeTint="D8"/>
    </w:rPr>
  </w:style>
  <w:style w:type="paragraph" w:styleId="Title">
    <w:name w:val="Title"/>
    <w:basedOn w:val="Normal"/>
    <w:next w:val="Normal"/>
    <w:link w:val="TitleChar"/>
    <w:uiPriority w:val="10"/>
    <w:qFormat/>
    <w:rsid w:val="00CD2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3C0"/>
    <w:pPr>
      <w:spacing w:before="160"/>
      <w:jc w:val="center"/>
    </w:pPr>
    <w:rPr>
      <w:i/>
      <w:iCs/>
      <w:color w:val="404040" w:themeColor="text1" w:themeTint="BF"/>
    </w:rPr>
  </w:style>
  <w:style w:type="character" w:customStyle="1" w:styleId="QuoteChar">
    <w:name w:val="Quote Char"/>
    <w:basedOn w:val="DefaultParagraphFont"/>
    <w:link w:val="Quote"/>
    <w:uiPriority w:val="29"/>
    <w:rsid w:val="00CD23C0"/>
    <w:rPr>
      <w:i/>
      <w:iCs/>
      <w:color w:val="404040" w:themeColor="text1" w:themeTint="BF"/>
    </w:rPr>
  </w:style>
  <w:style w:type="paragraph" w:styleId="ListParagraph">
    <w:name w:val="List Paragraph"/>
    <w:basedOn w:val="Normal"/>
    <w:uiPriority w:val="34"/>
    <w:qFormat/>
    <w:rsid w:val="00CD23C0"/>
    <w:pPr>
      <w:ind w:left="720"/>
      <w:contextualSpacing/>
    </w:pPr>
  </w:style>
  <w:style w:type="character" w:styleId="IntenseEmphasis">
    <w:name w:val="Intense Emphasis"/>
    <w:basedOn w:val="DefaultParagraphFont"/>
    <w:uiPriority w:val="21"/>
    <w:qFormat/>
    <w:rsid w:val="00CD23C0"/>
    <w:rPr>
      <w:i/>
      <w:iCs/>
      <w:color w:val="0F4761" w:themeColor="accent1" w:themeShade="BF"/>
    </w:rPr>
  </w:style>
  <w:style w:type="paragraph" w:styleId="IntenseQuote">
    <w:name w:val="Intense Quote"/>
    <w:basedOn w:val="Normal"/>
    <w:next w:val="Normal"/>
    <w:link w:val="IntenseQuoteChar"/>
    <w:uiPriority w:val="30"/>
    <w:qFormat/>
    <w:rsid w:val="00CD2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3C0"/>
    <w:rPr>
      <w:i/>
      <w:iCs/>
      <w:color w:val="0F4761" w:themeColor="accent1" w:themeShade="BF"/>
    </w:rPr>
  </w:style>
  <w:style w:type="character" w:styleId="IntenseReference">
    <w:name w:val="Intense Reference"/>
    <w:basedOn w:val="DefaultParagraphFont"/>
    <w:uiPriority w:val="32"/>
    <w:qFormat/>
    <w:rsid w:val="00CD23C0"/>
    <w:rPr>
      <w:b/>
      <w:bCs/>
      <w:smallCaps/>
      <w:color w:val="0F4761" w:themeColor="accent1" w:themeShade="BF"/>
      <w:spacing w:val="5"/>
    </w:rPr>
  </w:style>
  <w:style w:type="paragraph" w:styleId="Caption">
    <w:name w:val="caption"/>
    <w:basedOn w:val="Normal"/>
    <w:next w:val="Normal"/>
    <w:uiPriority w:val="35"/>
    <w:unhideWhenUsed/>
    <w:qFormat/>
    <w:rsid w:val="00CD23C0"/>
    <w:pPr>
      <w:spacing w:after="200" w:line="240" w:lineRule="auto"/>
    </w:pPr>
    <w:rPr>
      <w:rFonts w:ascii="DM Sans" w:hAnsi="DM Sans"/>
      <w:i/>
      <w:iCs/>
      <w:color w:val="0E2841" w:themeColor="text2"/>
      <w:kern w:val="0"/>
      <w:sz w:val="18"/>
      <w:szCs w:val="18"/>
      <w14:ligatures w14:val="none"/>
    </w:rPr>
  </w:style>
  <w:style w:type="table" w:styleId="GridTable4">
    <w:name w:val="Grid Table 4"/>
    <w:basedOn w:val="TableNormal"/>
    <w:uiPriority w:val="49"/>
    <w:rsid w:val="00CD23C0"/>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7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471"/>
  </w:style>
  <w:style w:type="paragraph" w:styleId="Footer">
    <w:name w:val="footer"/>
    <w:basedOn w:val="Normal"/>
    <w:link w:val="FooterChar"/>
    <w:uiPriority w:val="99"/>
    <w:unhideWhenUsed/>
    <w:rsid w:val="00D7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CE4772CB2C349A1589404C64E9BE7" ma:contentTypeVersion="19" ma:contentTypeDescription="Create a new document." ma:contentTypeScope="" ma:versionID="3b509834589c2326d28255eb1a344435">
  <xsd:schema xmlns:xsd="http://www.w3.org/2001/XMLSchema" xmlns:xs="http://www.w3.org/2001/XMLSchema" xmlns:p="http://schemas.microsoft.com/office/2006/metadata/properties" xmlns:ns2="9b03fb82-1fe8-44d6-a519-4a31d6ac90c9" xmlns:ns3="b8e9f873-5b5a-43e8-af4b-1b0c64370886" xmlns:ns4="e4daf7a2-960d-460e-aeb9-2d7b80393699" targetNamespace="http://schemas.microsoft.com/office/2006/metadata/properties" ma:root="true" ma:fieldsID="a2072dee4bcfa47ec3b14a6e094b20aa" ns2:_="" ns3:_="" ns4:_="">
    <xsd:import namespace="9b03fb82-1fe8-44d6-a519-4a31d6ac90c9"/>
    <xsd:import namespace="b8e9f873-5b5a-43e8-af4b-1b0c64370886"/>
    <xsd:import namespace="e4daf7a2-960d-460e-aeb9-2d7b803936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datetim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fb82-1fe8-44d6-a519-4a31d6ac9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9f873-5b5a-43e8-af4b-1b0c643708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af7a2-960d-460e-aeb9-2d7b80393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0ca9b-f1a3-404a-bc22-4d547be4d3ba}" ma:internalName="TaxCatchAll" ma:showField="CatchAllData" ma:web="e4daf7a2-960d-460e-aeb9-2d7b80393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daf7a2-960d-460e-aeb9-2d7b80393699" xsi:nil="true"/>
    <lcf76f155ced4ddcb4097134ff3c332f xmlns="9b03fb82-1fe8-44d6-a519-4a31d6ac90c9">
      <Terms xmlns="http://schemas.microsoft.com/office/infopath/2007/PartnerControls"/>
    </lcf76f155ced4ddcb4097134ff3c332f>
    <datetime xmlns="9b03fb82-1fe8-44d6-a519-4a31d6ac90c9" xsi:nil="true"/>
  </documentManagement>
</p:properties>
</file>

<file path=customXml/itemProps1.xml><?xml version="1.0" encoding="utf-8"?>
<ds:datastoreItem xmlns:ds="http://schemas.openxmlformats.org/officeDocument/2006/customXml" ds:itemID="{50C8A7CF-FD72-46A0-B6F5-3AECE96AD202}"/>
</file>

<file path=customXml/itemProps2.xml><?xml version="1.0" encoding="utf-8"?>
<ds:datastoreItem xmlns:ds="http://schemas.openxmlformats.org/officeDocument/2006/customXml" ds:itemID="{7F286EAC-91C5-4021-9E61-698C9DC91FA6}">
  <ds:schemaRefs>
    <ds:schemaRef ds:uri="http://schemas.microsoft.com/sharepoint/v3/contenttype/forms"/>
  </ds:schemaRefs>
</ds:datastoreItem>
</file>

<file path=customXml/itemProps3.xml><?xml version="1.0" encoding="utf-8"?>
<ds:datastoreItem xmlns:ds="http://schemas.openxmlformats.org/officeDocument/2006/customXml" ds:itemID="{0771A0E5-615E-440C-9D4D-9D48270717AA}">
  <ds:schemaRefs>
    <ds:schemaRef ds:uri="http://schemas.openxmlformats.org/package/2006/metadata/core-properties"/>
    <ds:schemaRef ds:uri="http://purl.org/dc/elements/1.1/"/>
    <ds:schemaRef ds:uri="805c0506-8082-4d7c-8f6f-29380f1a819b"/>
    <ds:schemaRef ds:uri="http://schemas.microsoft.com/office/infopath/2007/PartnerControls"/>
    <ds:schemaRef ds:uri="c2312d1d-d3f7-4113-8251-840524b45587"/>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OEM Budget Narrative Sample</dc:title>
  <dc:subject/>
  <dc:creator>Klein, Michelle</dc:creator>
  <cp:keywords/>
  <dc:description/>
  <cp:lastModifiedBy>Klein, Michelle</cp:lastModifiedBy>
  <cp:revision>2</cp:revision>
  <dcterms:created xsi:type="dcterms:W3CDTF">2025-05-06T18:57:00Z</dcterms:created>
  <dcterms:modified xsi:type="dcterms:W3CDTF">2025-05-06T19:33:00Z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0x010100CB0CE4772CB2C349A1589404C64E9BE7</vt:lpwstr>
  </property>
  <property fmtid="{D5CDD505-2E9C-101B-9397-08002B2CF9AE}" pid="3" name="MediaServiceImageTags">
    <vt:lpwstr/>
  </property>
</Properties>
</file>