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5C8F" w:rsidR="00FC5C8F" w:rsidP="00FC5C8F" w:rsidRDefault="00FC5C8F" w14:paraId="19DFA3A4" w14:textId="77777777">
      <w:pPr>
        <w:jc w:val="center"/>
        <w:textAlignment w:val="baseline"/>
        <w:rPr>
          <w:rFonts w:ascii="Segoe UI" w:hAnsi="Segoe UI" w:cs="Segoe UI"/>
          <w:sz w:val="18"/>
          <w:szCs w:val="18"/>
        </w:rPr>
      </w:pPr>
      <w:r w:rsidRPr="00FC5C8F">
        <w:rPr>
          <w:b/>
          <w:bCs/>
          <w:szCs w:val="24"/>
        </w:rPr>
        <w:t>TITLE 595. DEPARTMENT OF PUBLIC SAFETY</w:t>
      </w:r>
      <w:r w:rsidRPr="00FC5C8F">
        <w:rPr>
          <w:szCs w:val="24"/>
        </w:rPr>
        <w:t>  </w:t>
      </w:r>
    </w:p>
    <w:p w:rsidRPr="00FC5C8F" w:rsidR="00FC5C8F" w:rsidP="00FC5C8F" w:rsidRDefault="00FC5C8F" w14:paraId="33959BA7" w14:textId="77777777">
      <w:pPr>
        <w:jc w:val="center"/>
        <w:textAlignment w:val="baseline"/>
        <w:rPr>
          <w:rFonts w:ascii="Segoe UI" w:hAnsi="Segoe UI" w:cs="Segoe UI"/>
          <w:sz w:val="18"/>
          <w:szCs w:val="18"/>
        </w:rPr>
      </w:pPr>
      <w:r w:rsidRPr="00FC5C8F">
        <w:rPr>
          <w:b/>
          <w:bCs/>
          <w:szCs w:val="24"/>
        </w:rPr>
        <w:t>CHAPTER 25. WRECKERS AND TOWING SERVICES</w:t>
      </w:r>
      <w:r w:rsidRPr="00FC5C8F">
        <w:rPr>
          <w:szCs w:val="24"/>
        </w:rPr>
        <w:t> </w:t>
      </w:r>
    </w:p>
    <w:p w:rsidR="00D05B19" w:rsidP="00D05B19" w:rsidRDefault="00D05B19" w14:paraId="6E6E62FB" w14:textId="77777777"/>
    <w:p w:rsidR="00D05B19" w:rsidP="00D05B19" w:rsidRDefault="00D05B19" w14:paraId="1BD83225" w14:textId="77777777">
      <w:pPr>
        <w:jc w:val="center"/>
        <w:rPr>
          <w:b/>
        </w:rPr>
      </w:pPr>
      <w:r>
        <w:rPr>
          <w:b/>
        </w:rPr>
        <w:t>RULE IMPACT STATEMENT</w:t>
      </w:r>
    </w:p>
    <w:p w:rsidR="00CC2148" w:rsidP="00CC2148" w:rsidRDefault="00CC2148" w14:paraId="4BAA6804" w14:textId="37C395B0">
      <w:pPr>
        <w:jc w:val="center"/>
      </w:pPr>
      <w:r>
        <w:t>[75 O.S. § 303(D)(2)]</w:t>
      </w:r>
    </w:p>
    <w:p w:rsidR="00CC2148" w:rsidP="00CC2148" w:rsidRDefault="00CC2148" w14:paraId="6365372C" w14:textId="77777777"/>
    <w:p w:rsidRPr="00F448FA" w:rsidR="00CC2148" w:rsidP="00CC2148" w:rsidRDefault="00CC2148" w14:paraId="3D027C09" w14:textId="77777777">
      <w:pPr>
        <w:rPr>
          <w:b/>
          <w:highlight w:val="yellow"/>
        </w:rPr>
      </w:pPr>
      <w:r w:rsidRPr="00164CCE">
        <w:rPr>
          <w:b/>
        </w:rPr>
        <w:t>1.</w:t>
      </w:r>
      <w:r w:rsidRPr="00164CCE">
        <w:rPr>
          <w:b/>
        </w:rPr>
        <w:tab/>
      </w:r>
      <w:r w:rsidRPr="00164CCE">
        <w:rPr>
          <w:b/>
        </w:rPr>
        <w:t>A BRIEF DESCRIPTION OF THE PURPOSE OF THE PROPOSED RULE:</w:t>
      </w:r>
    </w:p>
    <w:p w:rsidR="00CC2148" w:rsidP="00CC2148" w:rsidRDefault="00094836" w14:paraId="4956BD59" w14:textId="53919462">
      <w:pPr>
        <w:ind w:left="720"/>
        <w:rPr>
          <w:rStyle w:val="eop"/>
          <w:color w:val="000000"/>
          <w:shd w:val="clear" w:color="auto" w:fill="FFFFFF"/>
        </w:rPr>
      </w:pPr>
      <w:r w:rsidRPr="00094836" w:rsidR="00094836">
        <w:rPr>
          <w:color w:val="000000" w:themeColor="text1"/>
        </w:rPr>
        <w:t xml:space="preserve">The proposed rules clarify definitions. The proposed rules clarify various procedures under the rules. Archaic language and quotations of </w:t>
      </w:r>
      <w:r w:rsidR="00512EBE">
        <w:rPr>
          <w:color w:val="000000" w:themeColor="text1"/>
        </w:rPr>
        <w:t>statutes</w:t>
      </w:r>
      <w:r w:rsidRPr="00094836" w:rsidR="00094836">
        <w:rPr>
          <w:color w:val="000000" w:themeColor="text1"/>
        </w:rPr>
        <w:t xml:space="preserve"> are removed from the rules. Additional requirements for the release of vehicles are included in the proposed rules. The rules clarify the agency will take adverse action against the license of a licensed wrecker service for violations of any applicable Oklahoma law. Previously</w:t>
      </w:r>
      <w:r w:rsidRPr="00094836" w:rsidR="180B1537">
        <w:rPr>
          <w:color w:val="000000" w:themeColor="text1"/>
        </w:rPr>
        <w:t xml:space="preserve">,</w:t>
      </w:r>
      <w:r w:rsidRPr="00094836" w:rsidR="00094836">
        <w:rPr>
          <w:color w:val="000000" w:themeColor="text1"/>
        </w:rPr>
        <w:t xml:space="preserve"> the rule was limited to those actions in contravention of Title 47.  </w:t>
      </w:r>
      <w:r w:rsidR="00164CCE">
        <w:rPr>
          <w:rStyle w:val="normaltextrun"/>
          <w:color w:val="000000"/>
          <w:shd w:val="clear" w:color="auto" w:fill="FFFFFF"/>
        </w:rPr>
        <w:t>  </w:t>
      </w:r>
      <w:r w:rsidR="00164CCE">
        <w:rPr>
          <w:rStyle w:val="eop"/>
          <w:color w:val="000000"/>
          <w:shd w:val="clear" w:color="auto" w:fill="FFFFFF"/>
        </w:rPr>
        <w:t> </w:t>
      </w:r>
    </w:p>
    <w:p w:rsidRPr="00F448FA" w:rsidR="00164CCE" w:rsidP="00CC2148" w:rsidRDefault="00164CCE" w14:paraId="2A9DB6D2" w14:textId="77777777">
      <w:pPr>
        <w:ind w:left="720"/>
        <w:rPr>
          <w:szCs w:val="24"/>
          <w:highlight w:val="yellow"/>
        </w:rPr>
      </w:pPr>
    </w:p>
    <w:p w:rsidRPr="00B127EB" w:rsidR="00CC2148" w:rsidP="00CC2148" w:rsidRDefault="00CC2148" w14:paraId="1FAACCE3" w14:textId="0FEB76ED">
      <w:pPr>
        <w:rPr>
          <w:b/>
        </w:rPr>
      </w:pPr>
      <w:r w:rsidRPr="00B127EB">
        <w:rPr>
          <w:b/>
        </w:rPr>
        <w:t>2.</w:t>
      </w:r>
      <w:r w:rsidRPr="00B127EB">
        <w:rPr>
          <w:b/>
        </w:rPr>
        <w:tab/>
      </w:r>
      <w:r w:rsidRPr="00B127EB">
        <w:rPr>
          <w:b/>
        </w:rPr>
        <w:t>DESCRIPTION OF THE CLASSES OF PERSON</w:t>
      </w:r>
      <w:r w:rsidR="00EA0199">
        <w:rPr>
          <w:b/>
        </w:rPr>
        <w:t>S</w:t>
      </w:r>
      <w:r w:rsidRPr="00B127EB">
        <w:rPr>
          <w:b/>
        </w:rPr>
        <w:t xml:space="preserve"> AFFECTED:</w:t>
      </w:r>
    </w:p>
    <w:p w:rsidRPr="006160D5" w:rsidR="00CC2148" w:rsidP="006160D5" w:rsidRDefault="006160D5" w14:paraId="1406B65B" w14:textId="2E9A772C">
      <w:pPr>
        <w:ind w:left="720"/>
        <w:rPr>
          <w:color w:val="000000" w:themeColor="text1"/>
        </w:rPr>
      </w:pPr>
      <w:r w:rsidRPr="19387264">
        <w:rPr>
          <w:color w:val="000000" w:themeColor="text1"/>
        </w:rPr>
        <w:t xml:space="preserve">The persons most likely affected by the proposed rule are licensed wrecker services </w:t>
      </w:r>
      <w:r w:rsidR="00094836">
        <w:rPr>
          <w:color w:val="000000" w:themeColor="text1"/>
        </w:rPr>
        <w:t>owners and operators</w:t>
      </w:r>
      <w:r w:rsidRPr="19387264">
        <w:rPr>
          <w:color w:val="000000" w:themeColor="text1"/>
        </w:rPr>
        <w:t>.</w:t>
      </w:r>
    </w:p>
    <w:p w:rsidRPr="00B127EB" w:rsidR="006160D5" w:rsidP="006160D5" w:rsidRDefault="006160D5" w14:paraId="00A6A634" w14:textId="77777777">
      <w:pPr>
        <w:ind w:left="720"/>
      </w:pPr>
    </w:p>
    <w:p w:rsidR="00CC2148" w:rsidP="00CC2148" w:rsidRDefault="00CC2148" w14:paraId="608E7847" w14:textId="77777777">
      <w:pPr>
        <w:rPr>
          <w:b/>
        </w:rPr>
      </w:pPr>
      <w:r w:rsidRPr="00B127EB">
        <w:rPr>
          <w:b/>
        </w:rPr>
        <w:t>3.</w:t>
      </w:r>
      <w:r w:rsidRPr="00B127EB">
        <w:rPr>
          <w:b/>
        </w:rPr>
        <w:tab/>
      </w:r>
      <w:r w:rsidRPr="00B127EB">
        <w:rPr>
          <w:b/>
        </w:rPr>
        <w:t>CLASSES OF PERSONS BENEFITTED:</w:t>
      </w:r>
    </w:p>
    <w:p w:rsidRPr="00B127EB" w:rsidR="00CC2148" w:rsidP="00B127EB" w:rsidRDefault="00F6100D" w14:paraId="7AAEDFF8" w14:textId="6322D50E">
      <w:pPr>
        <w:ind w:left="720"/>
        <w:rPr>
          <w:color w:val="000000" w:themeColor="text1"/>
        </w:rPr>
      </w:pPr>
      <w:r w:rsidRPr="00B127EB">
        <w:rPr>
          <w:color w:val="000000" w:themeColor="text1"/>
        </w:rPr>
        <w:t xml:space="preserve">The class of persons benefiting from the proposed </w:t>
      </w:r>
      <w:r w:rsidR="00D37B02">
        <w:rPr>
          <w:color w:val="000000" w:themeColor="text1"/>
        </w:rPr>
        <w:t xml:space="preserve">administrative </w:t>
      </w:r>
      <w:r w:rsidRPr="00B127EB">
        <w:rPr>
          <w:color w:val="000000" w:themeColor="text1"/>
        </w:rPr>
        <w:t>rule</w:t>
      </w:r>
      <w:r w:rsidR="00512EBE">
        <w:rPr>
          <w:color w:val="000000" w:themeColor="text1"/>
        </w:rPr>
        <w:t>s</w:t>
      </w:r>
      <w:r w:rsidRPr="00B127EB">
        <w:rPr>
          <w:color w:val="000000" w:themeColor="text1"/>
        </w:rPr>
        <w:t xml:space="preserve"> are those members of the public whose vehicles are towed as a result of an accident or other nonconsensual tow based upon the request of a law enforcement officer.</w:t>
      </w:r>
    </w:p>
    <w:p w:rsidR="00B127EB" w:rsidP="00B127EB" w:rsidRDefault="00B127EB" w14:paraId="07458016" w14:textId="77777777">
      <w:pPr>
        <w:ind w:left="720"/>
      </w:pPr>
    </w:p>
    <w:p w:rsidR="00CC2148" w:rsidP="00CC2148" w:rsidRDefault="00CC2148" w14:paraId="21D3346B" w14:textId="77777777">
      <w:pPr>
        <w:rPr>
          <w:b/>
        </w:rPr>
      </w:pPr>
      <w:r>
        <w:rPr>
          <w:b/>
        </w:rPr>
        <w:t>4.</w:t>
      </w:r>
      <w:r>
        <w:rPr>
          <w:b/>
        </w:rPr>
        <w:tab/>
      </w:r>
      <w:r>
        <w:rPr>
          <w:b/>
        </w:rPr>
        <w:t>ECONOMIC IMPACT UPON AFFECTED CLASSES OF PERSONS:</w:t>
      </w:r>
    </w:p>
    <w:p w:rsidRPr="00B816A6" w:rsidR="00533F90" w:rsidP="00CC2148" w:rsidRDefault="00B816A6" w14:paraId="096D5008" w14:textId="4F91B819">
      <w:pPr>
        <w:ind w:left="720"/>
        <w:rPr>
          <w:color w:val="000000" w:themeColor="text1"/>
        </w:rPr>
      </w:pPr>
      <w:r w:rsidRPr="00B816A6">
        <w:rPr>
          <w:color w:val="000000" w:themeColor="text1"/>
        </w:rPr>
        <w:t>There is no anticipated economic impact related to the proposed rule. There are no fees associated with the proposed rule.</w:t>
      </w:r>
    </w:p>
    <w:p w:rsidRPr="00533F90" w:rsidR="00B816A6" w:rsidP="00CC2148" w:rsidRDefault="00B816A6" w14:paraId="24507BF0" w14:textId="77777777">
      <w:pPr>
        <w:ind w:left="720"/>
        <w:rPr>
          <w:szCs w:val="24"/>
        </w:rPr>
      </w:pPr>
    </w:p>
    <w:p w:rsidR="00CC2148" w:rsidP="00CC2148" w:rsidRDefault="00CC2148" w14:paraId="76331520" w14:textId="77777777">
      <w:pPr>
        <w:rPr>
          <w:b/>
        </w:rPr>
      </w:pPr>
      <w:r>
        <w:rPr>
          <w:b/>
        </w:rPr>
        <w:t>5.</w:t>
      </w:r>
      <w:r>
        <w:rPr>
          <w:b/>
        </w:rPr>
        <w:tab/>
      </w:r>
      <w:r>
        <w:rPr>
          <w:b/>
        </w:rPr>
        <w:t>COST AND BENEFITS TO THE AGENCY:</w:t>
      </w:r>
    </w:p>
    <w:p w:rsidRPr="00E7116A" w:rsidR="00E7116A" w:rsidP="00E7116A" w:rsidRDefault="00E7116A" w14:paraId="384FB58B" w14:textId="724AC133">
      <w:pPr>
        <w:ind w:left="720"/>
        <w:rPr>
          <w:color w:val="000000" w:themeColor="text1"/>
          <w:sz w:val="22"/>
        </w:rPr>
      </w:pPr>
      <w:r w:rsidRPr="00E7116A">
        <w:rPr>
          <w:color w:val="000000" w:themeColor="text1"/>
        </w:rPr>
        <w:t xml:space="preserve">There are no anticipated costs related to the proposed rule. The benefits to the agency are </w:t>
      </w:r>
      <w:r w:rsidR="00094836">
        <w:rPr>
          <w:color w:val="000000" w:themeColor="text1"/>
        </w:rPr>
        <w:t xml:space="preserve">improved regulations </w:t>
      </w:r>
      <w:r w:rsidR="00702FD7">
        <w:rPr>
          <w:color w:val="000000" w:themeColor="text1"/>
        </w:rPr>
        <w:t xml:space="preserve">that </w:t>
      </w:r>
      <w:r w:rsidR="003F45BD">
        <w:rPr>
          <w:color w:val="000000" w:themeColor="text1"/>
        </w:rPr>
        <w:t xml:space="preserve">allow the Department to maintain </w:t>
      </w:r>
      <w:r w:rsidR="00702FD7">
        <w:rPr>
          <w:color w:val="000000" w:themeColor="text1"/>
        </w:rPr>
        <w:t>oversi</w:t>
      </w:r>
      <w:r w:rsidR="00733629">
        <w:rPr>
          <w:color w:val="000000" w:themeColor="text1"/>
        </w:rPr>
        <w:t xml:space="preserve">ght of wrecker and towing companies and provide </w:t>
      </w:r>
      <w:r w:rsidR="00536BEE">
        <w:rPr>
          <w:color w:val="000000" w:themeColor="text1"/>
        </w:rPr>
        <w:t xml:space="preserve">a level of </w:t>
      </w:r>
      <w:r w:rsidRPr="00E7116A">
        <w:rPr>
          <w:color w:val="000000" w:themeColor="text1"/>
        </w:rPr>
        <w:t xml:space="preserve">protection </w:t>
      </w:r>
      <w:r w:rsidR="00536BEE">
        <w:rPr>
          <w:color w:val="000000" w:themeColor="text1"/>
        </w:rPr>
        <w:t>for</w:t>
      </w:r>
      <w:r w:rsidRPr="00E7116A">
        <w:rPr>
          <w:color w:val="000000" w:themeColor="text1"/>
        </w:rPr>
        <w:t xml:space="preserve"> citizens whose vehicles are subject to nonconsensual tow as a result of an accident or other encounter with law enforcement. </w:t>
      </w:r>
    </w:p>
    <w:p w:rsidRPr="002377ED" w:rsidR="002377ED" w:rsidP="002377ED" w:rsidRDefault="002377ED" w14:paraId="400C4ABF" w14:textId="61BD5AC2">
      <w:pPr>
        <w:ind w:firstLine="720"/>
        <w:rPr>
          <w:rStyle w:val="normaltextrun"/>
          <w:color w:val="000000"/>
          <w:szCs w:val="24"/>
          <w:shd w:val="clear" w:color="auto" w:fill="FFFFFF"/>
        </w:rPr>
      </w:pPr>
    </w:p>
    <w:p w:rsidRPr="00E7116A" w:rsidR="00CC2148" w:rsidP="00E7116A" w:rsidRDefault="00CC2148" w14:paraId="65F6B53C" w14:textId="15A7602A">
      <w:r>
        <w:rPr>
          <w:b/>
        </w:rPr>
        <w:t>6.</w:t>
      </w:r>
      <w:r>
        <w:rPr>
          <w:b/>
        </w:rPr>
        <w:tab/>
      </w:r>
      <w:r>
        <w:rPr>
          <w:b/>
        </w:rPr>
        <w:t>ECONOMIC IMPACT ON POLITICAL SUBDIVISION:</w:t>
      </w:r>
    </w:p>
    <w:p w:rsidR="00515E6C" w:rsidP="00515E6C" w:rsidRDefault="005A019A" w14:paraId="0BEB350A" w14:textId="2CCAEC3F">
      <w:pPr>
        <w:ind w:left="720"/>
      </w:pPr>
      <w:r>
        <w:t>There is n</w:t>
      </w:r>
      <w:r w:rsidR="00F70112">
        <w:t xml:space="preserve">o anticipated </w:t>
      </w:r>
      <w:r w:rsidR="00A2383F">
        <w:t xml:space="preserve">impact on </w:t>
      </w:r>
      <w:r w:rsidR="009D2E3F">
        <w:t xml:space="preserve">political subdivisions. </w:t>
      </w:r>
    </w:p>
    <w:p w:rsidR="009D2E3F" w:rsidP="00515E6C" w:rsidRDefault="009D2E3F" w14:paraId="7FD5FA49" w14:textId="77777777">
      <w:pPr>
        <w:ind w:left="720"/>
      </w:pPr>
    </w:p>
    <w:p w:rsidRPr="008A1B93" w:rsidR="00CC2148" w:rsidP="00CC2148" w:rsidRDefault="00CC2148" w14:paraId="6870CE5E" w14:textId="77777777">
      <w:r>
        <w:rPr>
          <w:b/>
        </w:rPr>
        <w:t>7.</w:t>
      </w:r>
      <w:r>
        <w:rPr>
          <w:b/>
        </w:rPr>
        <w:tab/>
      </w:r>
      <w:r>
        <w:rPr>
          <w:b/>
        </w:rPr>
        <w:t>ECONOMIC IMPACT ON SMALL BUSINESS:</w:t>
      </w:r>
    </w:p>
    <w:p w:rsidRPr="00515E6C" w:rsidR="00692911" w:rsidP="00692911" w:rsidRDefault="00692911" w14:paraId="16F31386" w14:textId="69A11BC9">
      <w:pPr>
        <w:ind w:left="720"/>
        <w:rPr>
          <w:color w:val="000000" w:themeColor="text1"/>
        </w:rPr>
      </w:pPr>
      <w:r w:rsidRPr="19387264">
        <w:rPr>
          <w:color w:val="000000" w:themeColor="text1"/>
        </w:rPr>
        <w:t>There is no anticipated adverse economic impact on small business</w:t>
      </w:r>
      <w:r w:rsidR="00536BEE">
        <w:rPr>
          <w:color w:val="000000" w:themeColor="text1"/>
        </w:rPr>
        <w:t>es</w:t>
      </w:r>
      <w:r w:rsidR="00D37B02">
        <w:rPr>
          <w:color w:val="000000" w:themeColor="text1"/>
        </w:rPr>
        <w:t>.</w:t>
      </w:r>
    </w:p>
    <w:p w:rsidR="00CC2148" w:rsidP="00CC2148" w:rsidRDefault="00CC2148" w14:paraId="727E5A24" w14:textId="77777777"/>
    <w:p w:rsidRPr="008A1B93" w:rsidR="00CC2148" w:rsidP="00CC2148" w:rsidRDefault="00CC2148" w14:paraId="74551AE0" w14:textId="77777777">
      <w:r>
        <w:rPr>
          <w:b/>
        </w:rPr>
        <w:t>8.</w:t>
      </w:r>
      <w:r>
        <w:rPr>
          <w:b/>
        </w:rPr>
        <w:tab/>
      </w:r>
      <w:r>
        <w:rPr>
          <w:b/>
        </w:rPr>
        <w:t>MEASURES TAKEN TO MINIMIZE COMPLIANCE COSTS:</w:t>
      </w:r>
    </w:p>
    <w:p w:rsidRPr="00F86E9D" w:rsidR="00CC2148" w:rsidP="00F86E9D" w:rsidRDefault="005864FB" w14:paraId="7FF4F0B1" w14:textId="3C7C440E">
      <w:pPr>
        <w:ind w:left="720"/>
        <w:rPr>
          <w:color w:val="000000" w:themeColor="text1"/>
        </w:rPr>
      </w:pPr>
      <w:r>
        <w:rPr>
          <w:color w:val="000000" w:themeColor="text1"/>
        </w:rPr>
        <w:t>There are no compliance costs associated with the proposed permanent rules.</w:t>
      </w:r>
    </w:p>
    <w:p w:rsidR="00CC2148" w:rsidP="00CC2148" w:rsidRDefault="00CC2148" w14:paraId="72C2B71A" w14:textId="77777777"/>
    <w:p w:rsidRPr="008A1B93" w:rsidR="00CC2148" w:rsidP="00CC2148" w:rsidRDefault="00CC2148" w14:paraId="32F74394" w14:textId="77777777">
      <w:r>
        <w:rPr>
          <w:b/>
        </w:rPr>
        <w:t>9.</w:t>
      </w:r>
      <w:r>
        <w:rPr>
          <w:b/>
        </w:rPr>
        <w:tab/>
      </w:r>
      <w:r>
        <w:rPr>
          <w:b/>
        </w:rPr>
        <w:t>EFFECT OF THE PROPOSED RULE ON PUBLIC HEALTH:</w:t>
      </w:r>
    </w:p>
    <w:p w:rsidR="00CC2148" w:rsidP="00CC2148" w:rsidRDefault="00CC2148" w14:paraId="52E8443B" w14:textId="064B9133">
      <w:pPr>
        <w:rPr>
          <w:bCs/>
        </w:rPr>
      </w:pPr>
      <w:r>
        <w:rPr>
          <w:b/>
        </w:rPr>
        <w:tab/>
      </w:r>
      <w:r>
        <w:rPr>
          <w:bCs/>
        </w:rPr>
        <w:t>There is no anticipated effect on public health</w:t>
      </w:r>
      <w:r w:rsidR="00262278">
        <w:rPr>
          <w:bCs/>
        </w:rPr>
        <w:t>, safety</w:t>
      </w:r>
      <w:r w:rsidR="005864FB">
        <w:rPr>
          <w:bCs/>
        </w:rPr>
        <w:t>,</w:t>
      </w:r>
      <w:r w:rsidR="00262278">
        <w:rPr>
          <w:bCs/>
        </w:rPr>
        <w:t xml:space="preserve"> or environment. </w:t>
      </w:r>
    </w:p>
    <w:p w:rsidR="00CC2148" w:rsidP="00CC2148" w:rsidRDefault="00CC2148" w14:paraId="338E5F81" w14:textId="77777777">
      <w:pPr>
        <w:rPr>
          <w:bCs/>
        </w:rPr>
      </w:pPr>
    </w:p>
    <w:p w:rsidRPr="008A1B93" w:rsidR="00CC2148" w:rsidP="00CC2148" w:rsidRDefault="00CC2148" w14:paraId="77F2AA0E" w14:textId="77777777">
      <w:pPr>
        <w:rPr>
          <w:bCs/>
        </w:rPr>
      </w:pPr>
      <w:r w:rsidRPr="00B83822">
        <w:rPr>
          <w:b/>
        </w:rPr>
        <w:lastRenderedPageBreak/>
        <w:t>10.</w:t>
      </w:r>
      <w:r>
        <w:rPr>
          <w:b/>
        </w:rPr>
        <w:tab/>
      </w:r>
      <w:r>
        <w:rPr>
          <w:b/>
        </w:rPr>
        <w:t>DETRIMENTS TO PUBLIC HEALTH IF THE RULE IS NOT ADOPTED:</w:t>
      </w:r>
    </w:p>
    <w:p w:rsidRPr="004D254A" w:rsidR="004D254A" w:rsidP="004D254A" w:rsidRDefault="00CC2148" w14:paraId="46997F1C" w14:textId="633E6DE0">
      <w:pPr>
        <w:rPr>
          <w:color w:val="000000" w:themeColor="text1"/>
          <w:sz w:val="22"/>
        </w:rPr>
      </w:pPr>
      <w:r>
        <w:rPr>
          <w:b/>
        </w:rPr>
        <w:tab/>
      </w:r>
      <w:r w:rsidRPr="004D254A" w:rsidR="004D254A">
        <w:rPr>
          <w:color w:val="000000" w:themeColor="text1"/>
        </w:rPr>
        <w:t>There is no anticipated impact on public health, safety</w:t>
      </w:r>
      <w:r w:rsidR="005864FB">
        <w:rPr>
          <w:color w:val="000000" w:themeColor="text1"/>
        </w:rPr>
        <w:t>,</w:t>
      </w:r>
      <w:r w:rsidRPr="004D254A" w:rsidR="004D254A">
        <w:rPr>
          <w:color w:val="000000" w:themeColor="text1"/>
        </w:rPr>
        <w:t xml:space="preserve"> or environment</w:t>
      </w:r>
    </w:p>
    <w:p w:rsidRPr="00A559E2" w:rsidR="00CC2148" w:rsidP="004D254A" w:rsidRDefault="00CC2148" w14:paraId="3372E541" w14:textId="09AE1C82">
      <w:pPr>
        <w:ind w:firstLine="720"/>
        <w:rPr>
          <w:bCs/>
        </w:rPr>
      </w:pPr>
      <w:r>
        <w:rPr>
          <w:bCs/>
        </w:rPr>
        <w:t xml:space="preserve">if the emergency rule is not adopted. </w:t>
      </w:r>
    </w:p>
    <w:p w:rsidRPr="00B83822" w:rsidR="00CC2148" w:rsidP="00CC2148" w:rsidRDefault="00CC2148" w14:paraId="59D1C65A" w14:textId="77777777">
      <w:pPr>
        <w:rPr>
          <w:b/>
        </w:rPr>
      </w:pPr>
      <w:r>
        <w:t xml:space="preserve"> </w:t>
      </w:r>
      <w:r>
        <w:rPr>
          <w:b/>
        </w:rPr>
        <w:tab/>
      </w:r>
    </w:p>
    <w:p w:rsidR="00D37B02" w:rsidP="0016661C" w:rsidRDefault="00CC2148" w14:paraId="2CFAF614" w14:textId="77777777">
      <w:pPr>
        <w:rPr>
          <w:b/>
        </w:rPr>
      </w:pPr>
      <w:r>
        <w:rPr>
          <w:b/>
        </w:rPr>
        <w:t>11.</w:t>
      </w:r>
      <w:r>
        <w:rPr>
          <w:b/>
        </w:rPr>
        <w:tab/>
      </w:r>
      <w:r>
        <w:rPr>
          <w:b/>
        </w:rPr>
        <w:t xml:space="preserve">DATE RULE IMPACT STATEMENT PREPARED: </w:t>
      </w:r>
    </w:p>
    <w:p w:rsidRPr="0016661C" w:rsidR="00792DE0" w:rsidP="00D37B02" w:rsidRDefault="00D37B02" w14:paraId="0FB6133C" w14:textId="49005648">
      <w:pPr>
        <w:ind w:firstLine="720"/>
        <w:rPr>
          <w:bCs/>
        </w:rPr>
      </w:pPr>
      <w:r>
        <w:rPr>
          <w:bCs/>
        </w:rPr>
        <w:t>January 11, 2023.</w:t>
      </w:r>
    </w:p>
    <w:sectPr w:rsidRPr="0016661C" w:rsidR="00792DE0" w:rsidSect="000B39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17"/>
    <w:rsid w:val="00094836"/>
    <w:rsid w:val="001414B0"/>
    <w:rsid w:val="00164CCE"/>
    <w:rsid w:val="0016661C"/>
    <w:rsid w:val="0023554E"/>
    <w:rsid w:val="002377ED"/>
    <w:rsid w:val="00262278"/>
    <w:rsid w:val="0037507B"/>
    <w:rsid w:val="003F45BD"/>
    <w:rsid w:val="004D254A"/>
    <w:rsid w:val="00512EBE"/>
    <w:rsid w:val="00515E6C"/>
    <w:rsid w:val="00532366"/>
    <w:rsid w:val="00533F90"/>
    <w:rsid w:val="00536BEE"/>
    <w:rsid w:val="005572F3"/>
    <w:rsid w:val="005864FB"/>
    <w:rsid w:val="005A019A"/>
    <w:rsid w:val="006160D5"/>
    <w:rsid w:val="00692911"/>
    <w:rsid w:val="00702FD7"/>
    <w:rsid w:val="00733629"/>
    <w:rsid w:val="00782217"/>
    <w:rsid w:val="00792DE0"/>
    <w:rsid w:val="007C681A"/>
    <w:rsid w:val="009B1069"/>
    <w:rsid w:val="009D2E3F"/>
    <w:rsid w:val="00A23676"/>
    <w:rsid w:val="00A2383F"/>
    <w:rsid w:val="00B127EB"/>
    <w:rsid w:val="00B51C01"/>
    <w:rsid w:val="00B816A6"/>
    <w:rsid w:val="00B911F3"/>
    <w:rsid w:val="00CA5EBF"/>
    <w:rsid w:val="00CC2148"/>
    <w:rsid w:val="00D05B19"/>
    <w:rsid w:val="00D37B02"/>
    <w:rsid w:val="00E7116A"/>
    <w:rsid w:val="00EA0199"/>
    <w:rsid w:val="00EF7CE9"/>
    <w:rsid w:val="00F448FA"/>
    <w:rsid w:val="00F6100D"/>
    <w:rsid w:val="00F70112"/>
    <w:rsid w:val="00F82019"/>
    <w:rsid w:val="00F86E9D"/>
    <w:rsid w:val="00FC5C8F"/>
    <w:rsid w:val="1323AE09"/>
    <w:rsid w:val="180B1537"/>
    <w:rsid w:val="19387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AE88"/>
  <w15:chartTrackingRefBased/>
  <w15:docId w15:val="{83C988D9-5A4C-4AE9-87EA-07C5C0C079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217"/>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414B0"/>
    <w:pPr>
      <w:spacing w:before="100" w:beforeAutospacing="1" w:after="100" w:afterAutospacing="1"/>
    </w:pPr>
    <w:rPr>
      <w:szCs w:val="24"/>
    </w:rPr>
  </w:style>
  <w:style w:type="character" w:styleId="normaltextrun" w:customStyle="1">
    <w:name w:val="normaltextrun"/>
    <w:basedOn w:val="DefaultParagraphFont"/>
    <w:rsid w:val="001414B0"/>
  </w:style>
  <w:style w:type="character" w:styleId="eop" w:customStyle="1">
    <w:name w:val="eop"/>
    <w:basedOn w:val="DefaultParagraphFont"/>
    <w:rsid w:val="0014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58570">
      <w:bodyDiv w:val="1"/>
      <w:marLeft w:val="0"/>
      <w:marRight w:val="0"/>
      <w:marTop w:val="0"/>
      <w:marBottom w:val="0"/>
      <w:divBdr>
        <w:top w:val="none" w:sz="0" w:space="0" w:color="auto"/>
        <w:left w:val="none" w:sz="0" w:space="0" w:color="auto"/>
        <w:bottom w:val="none" w:sz="0" w:space="0" w:color="auto"/>
        <w:right w:val="none" w:sz="0" w:space="0" w:color="auto"/>
      </w:divBdr>
      <w:divsChild>
        <w:div w:id="506477657">
          <w:marLeft w:val="0"/>
          <w:marRight w:val="0"/>
          <w:marTop w:val="0"/>
          <w:marBottom w:val="0"/>
          <w:divBdr>
            <w:top w:val="none" w:sz="0" w:space="0" w:color="auto"/>
            <w:left w:val="none" w:sz="0" w:space="0" w:color="auto"/>
            <w:bottom w:val="none" w:sz="0" w:space="0" w:color="auto"/>
            <w:right w:val="none" w:sz="0" w:space="0" w:color="auto"/>
          </w:divBdr>
        </w:div>
        <w:div w:id="1044016010">
          <w:marLeft w:val="0"/>
          <w:marRight w:val="0"/>
          <w:marTop w:val="0"/>
          <w:marBottom w:val="0"/>
          <w:divBdr>
            <w:top w:val="none" w:sz="0" w:space="0" w:color="auto"/>
            <w:left w:val="none" w:sz="0" w:space="0" w:color="auto"/>
            <w:bottom w:val="none" w:sz="0" w:space="0" w:color="auto"/>
            <w:right w:val="none" w:sz="0" w:space="0" w:color="auto"/>
          </w:divBdr>
        </w:div>
        <w:div w:id="1175614425">
          <w:marLeft w:val="0"/>
          <w:marRight w:val="0"/>
          <w:marTop w:val="0"/>
          <w:marBottom w:val="0"/>
          <w:divBdr>
            <w:top w:val="none" w:sz="0" w:space="0" w:color="auto"/>
            <w:left w:val="none" w:sz="0" w:space="0" w:color="auto"/>
            <w:bottom w:val="none" w:sz="0" w:space="0" w:color="auto"/>
            <w:right w:val="none" w:sz="0" w:space="0" w:color="auto"/>
          </w:divBdr>
        </w:div>
        <w:div w:id="1961953913">
          <w:marLeft w:val="0"/>
          <w:marRight w:val="0"/>
          <w:marTop w:val="0"/>
          <w:marBottom w:val="0"/>
          <w:divBdr>
            <w:top w:val="none" w:sz="0" w:space="0" w:color="auto"/>
            <w:left w:val="none" w:sz="0" w:space="0" w:color="auto"/>
            <w:bottom w:val="none" w:sz="0" w:space="0" w:color="auto"/>
            <w:right w:val="none" w:sz="0" w:space="0" w:color="auto"/>
          </w:divBdr>
        </w:div>
      </w:divsChild>
    </w:div>
    <w:div w:id="1396002745">
      <w:bodyDiv w:val="1"/>
      <w:marLeft w:val="0"/>
      <w:marRight w:val="0"/>
      <w:marTop w:val="0"/>
      <w:marBottom w:val="0"/>
      <w:divBdr>
        <w:top w:val="none" w:sz="0" w:space="0" w:color="auto"/>
        <w:left w:val="none" w:sz="0" w:space="0" w:color="auto"/>
        <w:bottom w:val="none" w:sz="0" w:space="0" w:color="auto"/>
        <w:right w:val="none" w:sz="0" w:space="0" w:color="auto"/>
      </w:divBdr>
      <w:divsChild>
        <w:div w:id="1036855473">
          <w:marLeft w:val="0"/>
          <w:marRight w:val="0"/>
          <w:marTop w:val="0"/>
          <w:marBottom w:val="0"/>
          <w:divBdr>
            <w:top w:val="none" w:sz="0" w:space="0" w:color="auto"/>
            <w:left w:val="none" w:sz="0" w:space="0" w:color="auto"/>
            <w:bottom w:val="none" w:sz="0" w:space="0" w:color="auto"/>
            <w:right w:val="none" w:sz="0" w:space="0" w:color="auto"/>
          </w:divBdr>
        </w:div>
        <w:div w:id="335697588">
          <w:marLeft w:val="0"/>
          <w:marRight w:val="0"/>
          <w:marTop w:val="0"/>
          <w:marBottom w:val="0"/>
          <w:divBdr>
            <w:top w:val="none" w:sz="0" w:space="0" w:color="auto"/>
            <w:left w:val="none" w:sz="0" w:space="0" w:color="auto"/>
            <w:bottom w:val="none" w:sz="0" w:space="0" w:color="auto"/>
            <w:right w:val="none" w:sz="0" w:space="0" w:color="auto"/>
          </w:divBdr>
        </w:div>
      </w:divsChild>
    </w:div>
    <w:div w:id="1427267257">
      <w:bodyDiv w:val="1"/>
      <w:marLeft w:val="0"/>
      <w:marRight w:val="0"/>
      <w:marTop w:val="0"/>
      <w:marBottom w:val="0"/>
      <w:divBdr>
        <w:top w:val="none" w:sz="0" w:space="0" w:color="auto"/>
        <w:left w:val="none" w:sz="0" w:space="0" w:color="auto"/>
        <w:bottom w:val="none" w:sz="0" w:space="0" w:color="auto"/>
        <w:right w:val="none" w:sz="0" w:space="0" w:color="auto"/>
      </w:divBdr>
    </w:div>
    <w:div w:id="1962148155">
      <w:bodyDiv w:val="1"/>
      <w:marLeft w:val="0"/>
      <w:marRight w:val="0"/>
      <w:marTop w:val="0"/>
      <w:marBottom w:val="0"/>
      <w:divBdr>
        <w:top w:val="none" w:sz="0" w:space="0" w:color="auto"/>
        <w:left w:val="none" w:sz="0" w:space="0" w:color="auto"/>
        <w:bottom w:val="none" w:sz="0" w:space="0" w:color="auto"/>
        <w:right w:val="none" w:sz="0" w:space="0" w:color="auto"/>
      </w:divBdr>
    </w:div>
    <w:div w:id="21112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BF4398B4-96BB-4CED-95C3-2C9FC7B0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5B1FE-A7B7-46E5-AE8C-03744A53BC2E}">
  <ds:schemaRefs>
    <ds:schemaRef ds:uri="http://schemas.microsoft.com/sharepoint/v3/contenttype/forms"/>
  </ds:schemaRefs>
</ds:datastoreItem>
</file>

<file path=customXml/itemProps3.xml><?xml version="1.0" encoding="utf-8"?>
<ds:datastoreItem xmlns:ds="http://schemas.openxmlformats.org/officeDocument/2006/customXml" ds:itemID="{95640403-660A-4583-8BD0-3A26B26FA82E}">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Latosha Carrillo</dc:creator>
  <keywords/>
  <dc:description/>
  <lastModifiedBy>Kimberly Dammen</lastModifiedBy>
  <revision>14</revision>
  <lastPrinted>2021-08-06T19:29:00.0000000Z</lastPrinted>
  <dcterms:created xsi:type="dcterms:W3CDTF">2022-07-14T15:13:00.0000000Z</dcterms:created>
  <dcterms:modified xsi:type="dcterms:W3CDTF">2023-01-13T14:16:35.8728626Z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y fmtid="{D5CDD505-2E9C-101B-9397-08002B2CF9AE}" pid="4" name="GrammarlyDocumentId">
    <vt:lpwstr>367a9014e9df70efbc71a9a953ff8783794849497756f7bbab339a24932210e3</vt:lpwstr>
  </property>
</Properties>
</file>