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4B0CEF" w:rsidRDefault="00FF1FF0" w:rsidP="004B491C">
      <w:pPr>
        <w:tabs>
          <w:tab w:val="left" w:pos="2666"/>
        </w:tabs>
        <w:spacing w:after="0" w:line="240" w:lineRule="auto"/>
        <w:jc w:val="center"/>
      </w:pPr>
      <w:r w:rsidRPr="004B0CEF">
        <w:t>BOARD MEETING AGENDA</w:t>
      </w:r>
    </w:p>
    <w:p w14:paraId="6DA30268" w14:textId="40143D6F" w:rsidR="00FF1FF0" w:rsidRPr="004B0CEF" w:rsidRDefault="009956A5" w:rsidP="004B491C">
      <w:pPr>
        <w:tabs>
          <w:tab w:val="left" w:pos="2666"/>
        </w:tabs>
        <w:spacing w:after="0" w:line="240" w:lineRule="auto"/>
        <w:jc w:val="center"/>
      </w:pPr>
      <w:r>
        <w:t>January 11, 2021</w:t>
      </w:r>
    </w:p>
    <w:p w14:paraId="21A03144" w14:textId="59BF7ED5" w:rsidR="00FF1FF0" w:rsidRPr="004B0CEF" w:rsidRDefault="00853714" w:rsidP="004B491C">
      <w:pPr>
        <w:tabs>
          <w:tab w:val="left" w:pos="2666"/>
        </w:tabs>
        <w:spacing w:after="0" w:line="240" w:lineRule="auto"/>
        <w:jc w:val="center"/>
      </w:pPr>
      <w:r w:rsidRPr="004B0CEF">
        <w:t>10</w:t>
      </w:r>
      <w:r w:rsidR="00FF1FF0" w:rsidRPr="004B0CEF">
        <w:t>:00 a.m.</w:t>
      </w:r>
    </w:p>
    <w:p w14:paraId="1401AE6F" w14:textId="18A96832" w:rsidR="00FF1FF0" w:rsidRPr="004B0CEF" w:rsidRDefault="00FF1FF0" w:rsidP="009956A5">
      <w:pPr>
        <w:tabs>
          <w:tab w:val="left" w:pos="2666"/>
        </w:tabs>
        <w:spacing w:after="0" w:line="240" w:lineRule="auto"/>
        <w:jc w:val="center"/>
      </w:pPr>
      <w:r w:rsidRPr="004B0CEF">
        <w:t>2401 N W 23</w:t>
      </w:r>
      <w:r w:rsidRPr="004B0CEF">
        <w:rPr>
          <w:vertAlign w:val="superscript"/>
        </w:rPr>
        <w:t>rd</w:t>
      </w:r>
      <w:r w:rsidRPr="004B0CEF">
        <w:t xml:space="preserve">, </w:t>
      </w:r>
      <w:r w:rsidR="00577535">
        <w:t>Suite 84</w:t>
      </w:r>
    </w:p>
    <w:p w14:paraId="72E70093" w14:textId="77777777" w:rsidR="00A758DC" w:rsidRPr="004B0CEF" w:rsidRDefault="00A758DC" w:rsidP="004B491C">
      <w:pPr>
        <w:tabs>
          <w:tab w:val="left" w:pos="2666"/>
        </w:tabs>
        <w:spacing w:after="0" w:line="240" w:lineRule="auto"/>
        <w:jc w:val="center"/>
      </w:pPr>
      <w:r w:rsidRPr="004B0CEF">
        <w:t>Oklahoma City, Ok. 73107</w:t>
      </w:r>
    </w:p>
    <w:p w14:paraId="1320AC39" w14:textId="5953B7FB" w:rsidR="00A758DC" w:rsidRPr="004B0CEF" w:rsidRDefault="00A758DC" w:rsidP="004B491C">
      <w:pPr>
        <w:tabs>
          <w:tab w:val="left" w:pos="2666"/>
        </w:tabs>
        <w:spacing w:after="0" w:line="240" w:lineRule="auto"/>
        <w:jc w:val="center"/>
      </w:pPr>
      <w:r w:rsidRPr="004B0CEF">
        <w:t>Jeff Sells, Chair - Presiding</w:t>
      </w:r>
    </w:p>
    <w:p w14:paraId="3F3BCCBC" w14:textId="46BB598E" w:rsidR="002C2002" w:rsidRPr="00F92877" w:rsidRDefault="002C2002" w:rsidP="002C2002">
      <w:pPr>
        <w:pBdr>
          <w:bottom w:val="single" w:sz="12" w:space="1" w:color="auto"/>
        </w:pBdr>
        <w:tabs>
          <w:tab w:val="left" w:pos="2666"/>
        </w:tabs>
        <w:spacing w:after="0"/>
        <w:jc w:val="center"/>
      </w:pPr>
    </w:p>
    <w:p w14:paraId="4B43CE78" w14:textId="656C7306" w:rsidR="002C2002" w:rsidRPr="004B0CEF" w:rsidRDefault="002C2002" w:rsidP="00DF1847">
      <w:pPr>
        <w:pStyle w:val="ListParagraph"/>
        <w:numPr>
          <w:ilvl w:val="0"/>
          <w:numId w:val="1"/>
        </w:numPr>
        <w:spacing w:before="100" w:beforeAutospacing="1" w:after="100" w:afterAutospacing="1" w:line="360" w:lineRule="auto"/>
        <w:rPr>
          <w:sz w:val="24"/>
          <w:szCs w:val="24"/>
        </w:rPr>
      </w:pPr>
      <w:r w:rsidRPr="004B0CEF">
        <w:rPr>
          <w:sz w:val="24"/>
          <w:szCs w:val="24"/>
        </w:rPr>
        <w:t>Call to order</w:t>
      </w:r>
    </w:p>
    <w:p w14:paraId="34990D70" w14:textId="3EE317C3" w:rsidR="00697060" w:rsidRDefault="002C2002" w:rsidP="0090174B">
      <w:pPr>
        <w:pStyle w:val="ListParagraph"/>
        <w:numPr>
          <w:ilvl w:val="0"/>
          <w:numId w:val="1"/>
        </w:numPr>
        <w:spacing w:before="100" w:beforeAutospacing="1" w:after="100" w:afterAutospacing="1" w:line="360" w:lineRule="auto"/>
        <w:rPr>
          <w:sz w:val="24"/>
          <w:szCs w:val="24"/>
        </w:rPr>
      </w:pPr>
      <w:r w:rsidRPr="004B0CEF">
        <w:rPr>
          <w:sz w:val="24"/>
          <w:szCs w:val="24"/>
        </w:rPr>
        <w:t>Roll call</w:t>
      </w:r>
    </w:p>
    <w:p w14:paraId="291362F7" w14:textId="4257F282" w:rsidR="00A10457" w:rsidRPr="00A10457" w:rsidRDefault="00A10457" w:rsidP="00A10457">
      <w:pPr>
        <w:pStyle w:val="ListParagraph"/>
        <w:numPr>
          <w:ilvl w:val="0"/>
          <w:numId w:val="1"/>
        </w:numPr>
        <w:spacing w:before="100" w:beforeAutospacing="1" w:after="100" w:afterAutospacing="1" w:line="360" w:lineRule="auto"/>
        <w:rPr>
          <w:sz w:val="24"/>
          <w:szCs w:val="24"/>
        </w:rPr>
      </w:pPr>
      <w:r>
        <w:rPr>
          <w:sz w:val="24"/>
          <w:szCs w:val="24"/>
        </w:rPr>
        <w:t>Statement of Compliance with the Open Meeting Act.</w:t>
      </w:r>
    </w:p>
    <w:p w14:paraId="1FFBD91B" w14:textId="372C2024" w:rsidR="00EA5044" w:rsidRPr="004B0CEF" w:rsidRDefault="00EA5044"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Discussion and Possible Action to Approve or Disapprove Board Meeting Minutes from </w:t>
      </w:r>
      <w:r w:rsidR="009956A5">
        <w:rPr>
          <w:sz w:val="24"/>
          <w:szCs w:val="24"/>
        </w:rPr>
        <w:t>November 9</w:t>
      </w:r>
      <w:r w:rsidR="00697060" w:rsidRPr="004B0CEF">
        <w:rPr>
          <w:sz w:val="24"/>
          <w:szCs w:val="24"/>
        </w:rPr>
        <w:t>, 2020</w:t>
      </w:r>
      <w:r w:rsidR="009956A5">
        <w:rPr>
          <w:sz w:val="24"/>
          <w:szCs w:val="24"/>
        </w:rPr>
        <w:t xml:space="preserve"> and November 30, 2020</w:t>
      </w:r>
    </w:p>
    <w:p w14:paraId="1CDF2760" w14:textId="62805F7B" w:rsidR="00F92877" w:rsidRPr="004B0CEF" w:rsidRDefault="00F92877" w:rsidP="00DF1847">
      <w:pPr>
        <w:pStyle w:val="ListParagraph"/>
        <w:numPr>
          <w:ilvl w:val="0"/>
          <w:numId w:val="1"/>
        </w:numPr>
        <w:spacing w:before="100" w:beforeAutospacing="1" w:after="100" w:afterAutospacing="1" w:line="360" w:lineRule="auto"/>
        <w:rPr>
          <w:sz w:val="24"/>
          <w:szCs w:val="24"/>
        </w:rPr>
      </w:pPr>
      <w:r w:rsidRPr="004B0CEF">
        <w:rPr>
          <w:sz w:val="24"/>
          <w:szCs w:val="24"/>
        </w:rPr>
        <w:t>Discussion and possible action to approve or disapprove budget report (</w:t>
      </w:r>
      <w:r w:rsidR="009956A5">
        <w:rPr>
          <w:sz w:val="24"/>
          <w:szCs w:val="24"/>
        </w:rPr>
        <w:t>November</w:t>
      </w:r>
      <w:r w:rsidR="0008330C">
        <w:rPr>
          <w:sz w:val="24"/>
          <w:szCs w:val="24"/>
        </w:rPr>
        <w:t xml:space="preserve"> 1</w:t>
      </w:r>
      <w:r w:rsidR="00697060" w:rsidRPr="004B0CEF">
        <w:rPr>
          <w:sz w:val="24"/>
          <w:szCs w:val="24"/>
        </w:rPr>
        <w:t xml:space="preserve">, 2020 to </w:t>
      </w:r>
      <w:r w:rsidR="009956A5">
        <w:rPr>
          <w:sz w:val="24"/>
          <w:szCs w:val="24"/>
        </w:rPr>
        <w:t>December</w:t>
      </w:r>
      <w:r w:rsidR="0008330C">
        <w:rPr>
          <w:sz w:val="24"/>
          <w:szCs w:val="24"/>
        </w:rPr>
        <w:t xml:space="preserve"> 31</w:t>
      </w:r>
      <w:r w:rsidR="00697060" w:rsidRPr="004B0CEF">
        <w:rPr>
          <w:sz w:val="24"/>
          <w:szCs w:val="24"/>
        </w:rPr>
        <w:t>, 2020</w:t>
      </w:r>
      <w:r w:rsidRPr="004B0CEF">
        <w:rPr>
          <w:sz w:val="24"/>
          <w:szCs w:val="24"/>
        </w:rPr>
        <w:t>) – Brandy Bahm, OMES, Agency Business Services</w:t>
      </w:r>
    </w:p>
    <w:p w14:paraId="787D00BC" w14:textId="1ABE624C" w:rsidR="00697060" w:rsidRPr="004B0CEF" w:rsidRDefault="002C5200" w:rsidP="00697060">
      <w:pPr>
        <w:pStyle w:val="ListParagraph"/>
        <w:numPr>
          <w:ilvl w:val="0"/>
          <w:numId w:val="1"/>
        </w:numPr>
        <w:spacing w:before="100" w:beforeAutospacing="1" w:after="100" w:afterAutospacing="1" w:line="360" w:lineRule="auto"/>
        <w:rPr>
          <w:sz w:val="24"/>
          <w:szCs w:val="24"/>
        </w:rPr>
      </w:pPr>
      <w:r w:rsidRPr="004B0CEF">
        <w:rPr>
          <w:sz w:val="24"/>
          <w:szCs w:val="24"/>
        </w:rPr>
        <w:t xml:space="preserve">Public comment- Opportunity for the board to receive public comments. Each speaker is limited to three minutes. </w:t>
      </w:r>
      <w:r w:rsidR="00C071AB" w:rsidRPr="004B0CEF">
        <w:rPr>
          <w:sz w:val="24"/>
          <w:szCs w:val="24"/>
        </w:rPr>
        <w:t xml:space="preserve">Comments </w:t>
      </w:r>
      <w:proofErr w:type="gramStart"/>
      <w:r w:rsidR="00C071AB" w:rsidRPr="004B0CEF">
        <w:rPr>
          <w:sz w:val="24"/>
          <w:szCs w:val="24"/>
        </w:rPr>
        <w:t>must be relate</w:t>
      </w:r>
      <w:r w:rsidR="00697060" w:rsidRPr="004B0CEF">
        <w:rPr>
          <w:sz w:val="24"/>
          <w:szCs w:val="24"/>
        </w:rPr>
        <w:t>d</w:t>
      </w:r>
      <w:proofErr w:type="gramEnd"/>
      <w:r w:rsidR="00697060" w:rsidRPr="004B0CEF">
        <w:rPr>
          <w:sz w:val="24"/>
          <w:szCs w:val="24"/>
        </w:rPr>
        <w:t xml:space="preserve"> to items listed on the agenda.</w:t>
      </w:r>
    </w:p>
    <w:p w14:paraId="7E54A2AD" w14:textId="385C3187" w:rsidR="000A1261" w:rsidRPr="004B0CEF" w:rsidRDefault="00F92877" w:rsidP="000A1261">
      <w:pPr>
        <w:pStyle w:val="ListParagraph"/>
        <w:numPr>
          <w:ilvl w:val="0"/>
          <w:numId w:val="1"/>
        </w:numPr>
        <w:spacing w:after="0" w:line="360" w:lineRule="auto"/>
        <w:rPr>
          <w:sz w:val="24"/>
          <w:szCs w:val="24"/>
        </w:rPr>
      </w:pPr>
      <w:r w:rsidRPr="004B0CEF">
        <w:rPr>
          <w:sz w:val="24"/>
          <w:szCs w:val="24"/>
        </w:rPr>
        <w:t>Director's report</w:t>
      </w:r>
      <w:r w:rsidR="000A1261" w:rsidRPr="004B0CEF">
        <w:rPr>
          <w:sz w:val="24"/>
          <w:szCs w:val="24"/>
        </w:rPr>
        <w:t xml:space="preserve"> </w:t>
      </w:r>
      <w:r w:rsidR="00854CE3" w:rsidRPr="004B0CEF">
        <w:rPr>
          <w:sz w:val="24"/>
          <w:szCs w:val="24"/>
        </w:rPr>
        <w:t>and possible discussion</w:t>
      </w:r>
      <w:r w:rsidR="000A1261" w:rsidRPr="004B0CEF">
        <w:rPr>
          <w:sz w:val="24"/>
          <w:szCs w:val="24"/>
        </w:rPr>
        <w:t>– Sherry G. Lewelling</w:t>
      </w:r>
    </w:p>
    <w:p w14:paraId="65C8123D" w14:textId="59B35702" w:rsidR="00F92877" w:rsidRDefault="0090174B" w:rsidP="00F92877">
      <w:pPr>
        <w:pStyle w:val="ListParagraph"/>
        <w:spacing w:after="0" w:line="360" w:lineRule="auto"/>
        <w:ind w:left="1440"/>
        <w:rPr>
          <w:sz w:val="24"/>
          <w:szCs w:val="24"/>
        </w:rPr>
      </w:pPr>
      <w:r>
        <w:rPr>
          <w:sz w:val="24"/>
          <w:szCs w:val="24"/>
        </w:rPr>
        <w:t>Inspections</w:t>
      </w:r>
    </w:p>
    <w:p w14:paraId="1CD301A7" w14:textId="71C2223C" w:rsidR="006D6C5C" w:rsidRDefault="00A10457" w:rsidP="000A1261">
      <w:pPr>
        <w:pStyle w:val="ListParagraph"/>
        <w:numPr>
          <w:ilvl w:val="0"/>
          <w:numId w:val="1"/>
        </w:numPr>
        <w:spacing w:after="0" w:line="360" w:lineRule="auto"/>
        <w:rPr>
          <w:sz w:val="24"/>
          <w:szCs w:val="24"/>
        </w:rPr>
      </w:pPr>
      <w:r>
        <w:rPr>
          <w:sz w:val="24"/>
          <w:szCs w:val="24"/>
        </w:rPr>
        <w:t>Massage Therapy Report – Laura Grisso</w:t>
      </w:r>
    </w:p>
    <w:p w14:paraId="6D200D88" w14:textId="77777777" w:rsidR="00A10457" w:rsidRDefault="00A10457" w:rsidP="00A10457">
      <w:pPr>
        <w:pStyle w:val="ListParagraph"/>
        <w:numPr>
          <w:ilvl w:val="0"/>
          <w:numId w:val="1"/>
        </w:numPr>
        <w:spacing w:before="100" w:beforeAutospacing="1" w:after="100" w:afterAutospacing="1" w:line="360" w:lineRule="auto"/>
        <w:rPr>
          <w:sz w:val="24"/>
          <w:szCs w:val="24"/>
        </w:rPr>
      </w:pPr>
      <w:r>
        <w:rPr>
          <w:sz w:val="24"/>
          <w:szCs w:val="24"/>
        </w:rPr>
        <w:t>Discussion and Possible Action to Approve or Disapprove Massage Therapy Legislation</w:t>
      </w:r>
    </w:p>
    <w:p w14:paraId="6346C319" w14:textId="77777777" w:rsidR="00A10457" w:rsidRDefault="00A10457" w:rsidP="00A10457">
      <w:pPr>
        <w:pStyle w:val="ListParagraph"/>
        <w:spacing w:line="360" w:lineRule="auto"/>
        <w:rPr>
          <w:sz w:val="20"/>
          <w:szCs w:val="20"/>
        </w:rPr>
      </w:pPr>
      <w:r>
        <w:rPr>
          <w:sz w:val="20"/>
          <w:szCs w:val="20"/>
        </w:rPr>
        <w:t>59 O.S. § 4200.4 Authority of State Board of Cosmetology and Barbering Advisory Board on Massage Therapy – License fees</w:t>
      </w:r>
    </w:p>
    <w:p w14:paraId="15AC32A2" w14:textId="1AC09F7D" w:rsidR="00A10457" w:rsidRDefault="00A10457" w:rsidP="00A10457">
      <w:pPr>
        <w:pStyle w:val="ListParagraph"/>
        <w:spacing w:line="360" w:lineRule="auto"/>
        <w:rPr>
          <w:sz w:val="20"/>
          <w:szCs w:val="20"/>
        </w:rPr>
      </w:pPr>
      <w:r>
        <w:rPr>
          <w:sz w:val="20"/>
          <w:szCs w:val="20"/>
        </w:rPr>
        <w:t>59 O.S. § 4200.5 License requirements</w:t>
      </w:r>
    </w:p>
    <w:p w14:paraId="6AB33C86" w14:textId="1F754FD6" w:rsidR="00053BCB" w:rsidRDefault="00053BCB" w:rsidP="00A10457">
      <w:pPr>
        <w:pStyle w:val="ListParagraph"/>
        <w:spacing w:line="360" w:lineRule="auto"/>
        <w:rPr>
          <w:sz w:val="20"/>
          <w:szCs w:val="20"/>
        </w:rPr>
      </w:pPr>
      <w:r>
        <w:rPr>
          <w:sz w:val="20"/>
          <w:szCs w:val="20"/>
        </w:rPr>
        <w:t>59 O.S. § 4200.7 Massage therapy schools – License required – Instruction as massage therapist</w:t>
      </w:r>
    </w:p>
    <w:p w14:paraId="7883C512" w14:textId="77777777" w:rsidR="00A10457" w:rsidRDefault="00A10457" w:rsidP="00A10457">
      <w:pPr>
        <w:pStyle w:val="ListParagraph"/>
        <w:spacing w:line="360" w:lineRule="auto"/>
        <w:rPr>
          <w:sz w:val="20"/>
          <w:szCs w:val="20"/>
        </w:rPr>
      </w:pPr>
      <w:r>
        <w:rPr>
          <w:sz w:val="20"/>
          <w:szCs w:val="20"/>
        </w:rPr>
        <w:t>59 O.S. § 4200.9 Out-of-state license holders – License renewal – Inactive status – Fees</w:t>
      </w:r>
    </w:p>
    <w:p w14:paraId="722C4922" w14:textId="77777777" w:rsidR="00A10457" w:rsidRDefault="00A10457" w:rsidP="00A10457">
      <w:pPr>
        <w:pStyle w:val="ListParagraph"/>
        <w:spacing w:line="360" w:lineRule="auto"/>
        <w:rPr>
          <w:sz w:val="20"/>
          <w:szCs w:val="20"/>
        </w:rPr>
      </w:pPr>
      <w:r>
        <w:rPr>
          <w:sz w:val="20"/>
          <w:szCs w:val="20"/>
        </w:rPr>
        <w:tab/>
        <w:t>59 O.S. § 4200.9.1 Proposed addition</w:t>
      </w:r>
    </w:p>
    <w:p w14:paraId="27FE9876" w14:textId="77777777" w:rsidR="00A10457" w:rsidRPr="005E2A9E" w:rsidRDefault="00A10457" w:rsidP="00A10457">
      <w:pPr>
        <w:pStyle w:val="ListParagraph"/>
        <w:spacing w:line="360" w:lineRule="auto"/>
        <w:rPr>
          <w:sz w:val="20"/>
          <w:szCs w:val="20"/>
        </w:rPr>
      </w:pPr>
      <w:r>
        <w:rPr>
          <w:sz w:val="20"/>
          <w:szCs w:val="20"/>
        </w:rPr>
        <w:tab/>
        <w:t>59 O.S. § 4200.9.2 Proposed addition</w:t>
      </w:r>
    </w:p>
    <w:p w14:paraId="6D2BAB20" w14:textId="77777777" w:rsidR="00A10457" w:rsidRDefault="00A10457" w:rsidP="00A10457">
      <w:pPr>
        <w:pStyle w:val="ListParagraph"/>
        <w:spacing w:line="360" w:lineRule="auto"/>
        <w:rPr>
          <w:sz w:val="20"/>
          <w:szCs w:val="20"/>
        </w:rPr>
      </w:pPr>
      <w:r>
        <w:rPr>
          <w:sz w:val="20"/>
          <w:szCs w:val="20"/>
        </w:rPr>
        <w:t>59 O.S. § 4200.10 Preemption</w:t>
      </w:r>
    </w:p>
    <w:p w14:paraId="5D73C359" w14:textId="345DEA17" w:rsidR="00953D87" w:rsidRDefault="00953D87" w:rsidP="000A1261">
      <w:pPr>
        <w:pStyle w:val="ListParagraph"/>
        <w:numPr>
          <w:ilvl w:val="0"/>
          <w:numId w:val="1"/>
        </w:numPr>
        <w:spacing w:after="0" w:line="360" w:lineRule="auto"/>
        <w:rPr>
          <w:sz w:val="24"/>
          <w:szCs w:val="24"/>
        </w:rPr>
      </w:pPr>
      <w:r>
        <w:rPr>
          <w:sz w:val="24"/>
          <w:szCs w:val="24"/>
        </w:rPr>
        <w:t>Website Committee Report – Jeff Sells</w:t>
      </w:r>
    </w:p>
    <w:p w14:paraId="31C218B8" w14:textId="0B5CA85B" w:rsidR="00D0182B" w:rsidRDefault="00953D87" w:rsidP="00462002">
      <w:pPr>
        <w:pStyle w:val="ListParagraph"/>
        <w:numPr>
          <w:ilvl w:val="0"/>
          <w:numId w:val="1"/>
        </w:numPr>
        <w:spacing w:after="0" w:line="360" w:lineRule="auto"/>
        <w:rPr>
          <w:sz w:val="24"/>
          <w:szCs w:val="24"/>
        </w:rPr>
      </w:pPr>
      <w:r>
        <w:rPr>
          <w:sz w:val="24"/>
          <w:szCs w:val="24"/>
        </w:rPr>
        <w:lastRenderedPageBreak/>
        <w:t>Discussion and possible action to approve or disapprove website committee recommendations.</w:t>
      </w:r>
    </w:p>
    <w:p w14:paraId="7CB36D71" w14:textId="4538F045" w:rsidR="00B62A40" w:rsidRPr="00462002" w:rsidRDefault="00B62A40" w:rsidP="00462002">
      <w:pPr>
        <w:pStyle w:val="ListParagraph"/>
        <w:numPr>
          <w:ilvl w:val="0"/>
          <w:numId w:val="1"/>
        </w:numPr>
        <w:spacing w:after="0" w:line="360" w:lineRule="auto"/>
        <w:rPr>
          <w:sz w:val="24"/>
          <w:szCs w:val="24"/>
        </w:rPr>
      </w:pPr>
      <w:r>
        <w:rPr>
          <w:sz w:val="24"/>
          <w:szCs w:val="24"/>
        </w:rPr>
        <w:t>Discussion and possible action to approve or disapprove the Salary Administrative play for Calendar year 2021</w:t>
      </w:r>
      <w:bookmarkStart w:id="0" w:name="_GoBack"/>
      <w:bookmarkEnd w:id="0"/>
    </w:p>
    <w:p w14:paraId="088154E3" w14:textId="77777777" w:rsidR="00A10457" w:rsidRDefault="00A10457" w:rsidP="00A10457">
      <w:pPr>
        <w:pStyle w:val="ListParagraph"/>
        <w:numPr>
          <w:ilvl w:val="0"/>
          <w:numId w:val="1"/>
        </w:numPr>
        <w:spacing w:before="100" w:beforeAutospacing="1" w:after="100" w:afterAutospacing="1" w:line="360" w:lineRule="auto"/>
        <w:rPr>
          <w:sz w:val="24"/>
          <w:szCs w:val="24"/>
        </w:rPr>
      </w:pPr>
      <w:r>
        <w:rPr>
          <w:sz w:val="24"/>
          <w:szCs w:val="24"/>
        </w:rPr>
        <w:t xml:space="preserve">Discussion and possible action to enter into executive session pursuant to 25 O.S. </w:t>
      </w:r>
      <w:r>
        <w:rPr>
          <w:rFonts w:cstheme="minorHAnsi"/>
          <w:sz w:val="24"/>
          <w:szCs w:val="24"/>
        </w:rPr>
        <w:t>§</w:t>
      </w:r>
      <w:r>
        <w:rPr>
          <w:sz w:val="24"/>
          <w:szCs w:val="24"/>
        </w:rPr>
        <w:t>307(B)(2) to discuss performance review of Executive Director, Sherry G. Lewelling</w:t>
      </w:r>
    </w:p>
    <w:p w14:paraId="6568D5BF" w14:textId="77777777" w:rsidR="0001123C" w:rsidRPr="0001123C" w:rsidRDefault="0001123C" w:rsidP="0001123C">
      <w:pPr>
        <w:pStyle w:val="ListParagraph"/>
        <w:rPr>
          <w:rFonts w:eastAsia="Times New Roman" w:cstheme="minorHAnsi"/>
          <w:color w:val="000000"/>
          <w:sz w:val="24"/>
          <w:szCs w:val="24"/>
        </w:rPr>
      </w:pPr>
      <w:r w:rsidRPr="0001123C">
        <w:rPr>
          <w:rFonts w:eastAsia="Times New Roman" w:cstheme="minorHAnsi"/>
          <w:color w:val="000000"/>
          <w:sz w:val="24"/>
          <w:szCs w:val="24"/>
        </w:rPr>
        <w:t>a. Vote to enter Executive Session </w:t>
      </w:r>
    </w:p>
    <w:p w14:paraId="01DCE0E6" w14:textId="77777777" w:rsidR="0001123C" w:rsidRPr="0001123C" w:rsidRDefault="0001123C" w:rsidP="0001123C">
      <w:pPr>
        <w:pStyle w:val="ListParagraph"/>
        <w:rPr>
          <w:rFonts w:eastAsia="Times New Roman" w:cstheme="minorHAnsi"/>
          <w:color w:val="000000"/>
          <w:sz w:val="24"/>
          <w:szCs w:val="24"/>
        </w:rPr>
      </w:pPr>
      <w:r w:rsidRPr="0001123C">
        <w:rPr>
          <w:rFonts w:eastAsia="Times New Roman" w:cstheme="minorHAnsi"/>
          <w:color w:val="000000"/>
          <w:sz w:val="24"/>
          <w:szCs w:val="24"/>
        </w:rPr>
        <w:t>b. Exit Executive Session and vote to re-enter Open Session </w:t>
      </w:r>
    </w:p>
    <w:p w14:paraId="59599E0D" w14:textId="079442DE" w:rsidR="00A10457" w:rsidRDefault="0001123C" w:rsidP="0001123C">
      <w:pPr>
        <w:pStyle w:val="ListParagraph"/>
        <w:rPr>
          <w:rFonts w:eastAsia="Times New Roman" w:cstheme="minorHAnsi"/>
          <w:color w:val="000000"/>
          <w:sz w:val="24"/>
          <w:szCs w:val="24"/>
        </w:rPr>
      </w:pPr>
      <w:r w:rsidRPr="0001123C">
        <w:rPr>
          <w:rFonts w:eastAsia="Times New Roman" w:cstheme="minorHAnsi"/>
          <w:color w:val="000000"/>
          <w:sz w:val="24"/>
          <w:szCs w:val="24"/>
        </w:rPr>
        <w:t>c. Vote on matters discussed in Executive Session</w:t>
      </w:r>
    </w:p>
    <w:p w14:paraId="5DD5F4AC" w14:textId="77777777" w:rsidR="0001123C" w:rsidRPr="0001123C" w:rsidRDefault="0001123C" w:rsidP="0001123C">
      <w:pPr>
        <w:pStyle w:val="ListParagraph"/>
        <w:rPr>
          <w:rFonts w:eastAsia="Times New Roman" w:cstheme="minorHAnsi"/>
          <w:color w:val="000000"/>
          <w:sz w:val="24"/>
          <w:szCs w:val="24"/>
        </w:rPr>
      </w:pPr>
    </w:p>
    <w:p w14:paraId="1FC482AB" w14:textId="7EEF0225" w:rsidR="006D6C5C" w:rsidRDefault="00A10457" w:rsidP="00697060">
      <w:pPr>
        <w:pStyle w:val="ListParagraph"/>
        <w:numPr>
          <w:ilvl w:val="0"/>
          <w:numId w:val="1"/>
        </w:numPr>
        <w:spacing w:after="0" w:line="360" w:lineRule="auto"/>
        <w:rPr>
          <w:sz w:val="24"/>
          <w:szCs w:val="24"/>
        </w:rPr>
      </w:pPr>
      <w:r>
        <w:rPr>
          <w:sz w:val="24"/>
          <w:szCs w:val="24"/>
        </w:rPr>
        <w:t>Director’s evaluation</w:t>
      </w:r>
      <w:r w:rsidR="006D6C5C">
        <w:rPr>
          <w:sz w:val="24"/>
          <w:szCs w:val="24"/>
        </w:rPr>
        <w:t xml:space="preserve"> Report – Peggy Avery</w:t>
      </w:r>
    </w:p>
    <w:p w14:paraId="5B2D72C0" w14:textId="38084A0C" w:rsidR="00540ED9" w:rsidRPr="004B0CEF" w:rsidRDefault="00240F6D"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New business which could not have been reasonably foreseen prior to posting of meeting agenda </w:t>
      </w:r>
      <w:r w:rsidR="00243A41" w:rsidRPr="004B0CEF">
        <w:rPr>
          <w:sz w:val="24"/>
          <w:szCs w:val="24"/>
        </w:rPr>
        <w:t>25 O.S. sec.311 (A)(9)</w:t>
      </w:r>
    </w:p>
    <w:p w14:paraId="521C0DEC" w14:textId="16A1B19D" w:rsidR="00243A41" w:rsidRPr="004B0CEF" w:rsidRDefault="00243A41"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w:t>
      </w:r>
      <w:proofErr w:type="gramStart"/>
      <w:r w:rsidRPr="004B0CEF">
        <w:rPr>
          <w:sz w:val="20"/>
          <w:szCs w:val="20"/>
        </w:rPr>
        <w:t>must be disclosed</w:t>
      </w:r>
      <w:proofErr w:type="gramEnd"/>
      <w:r w:rsidRPr="004B0CEF">
        <w:rPr>
          <w:sz w:val="20"/>
          <w:szCs w:val="20"/>
        </w:rPr>
        <w:t xml:space="preserve"> prior to discussion of that item and that board member must recuse from voting on it. </w:t>
      </w:r>
    </w:p>
    <w:sectPr w:rsidR="000647E5" w:rsidRPr="004B0CEF"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w:t>
    </w:r>
    <w:proofErr w:type="gramStart"/>
    <w:r w:rsidRPr="00165AB0">
      <w:rPr>
        <w:rFonts w:ascii="Baskerville Old Face" w:hAnsi="Baskerville Old Face"/>
        <w:color w:val="1F497D" w:themeColor="text2"/>
        <w:sz w:val="24"/>
        <w:szCs w:val="24"/>
      </w:rPr>
      <w:t>2441  Fax</w:t>
    </w:r>
    <w:proofErr w:type="gramEnd"/>
    <w:r w:rsidRPr="00165AB0">
      <w:rPr>
        <w:rFonts w:ascii="Baskerville Old Face" w:hAnsi="Baskerville Old Face"/>
        <w:color w:val="1F497D" w:themeColor="text2"/>
        <w:sz w:val="24"/>
        <w:szCs w:val="24"/>
      </w:rPr>
      <w:t xml:space="preserve">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CC224F4" w:rsidR="00F31DF4" w:rsidRDefault="008043C4" w:rsidP="00165AB0">
          <w:pPr>
            <w:pStyle w:val="Header"/>
            <w:jc w:val="center"/>
          </w:pPr>
          <w:r>
            <w:rPr>
              <w:noProof/>
            </w:rPr>
            <w:drawing>
              <wp:inline distT="0" distB="0" distL="0" distR="0" wp14:anchorId="3F10ABA9" wp14:editId="7D965885">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402855DD"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23C"/>
    <w:rsid w:val="00053BCB"/>
    <w:rsid w:val="000647E5"/>
    <w:rsid w:val="00065A60"/>
    <w:rsid w:val="00065FCE"/>
    <w:rsid w:val="0008330C"/>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96F7D"/>
    <w:rsid w:val="001A73BD"/>
    <w:rsid w:val="001D1353"/>
    <w:rsid w:val="001D7EB4"/>
    <w:rsid w:val="001E08F2"/>
    <w:rsid w:val="001E3140"/>
    <w:rsid w:val="001E4FF5"/>
    <w:rsid w:val="001F67CD"/>
    <w:rsid w:val="00240F6D"/>
    <w:rsid w:val="00243A41"/>
    <w:rsid w:val="00264715"/>
    <w:rsid w:val="00271556"/>
    <w:rsid w:val="002A2CF0"/>
    <w:rsid w:val="002A358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4CB7"/>
    <w:rsid w:val="003A703E"/>
    <w:rsid w:val="003F3C64"/>
    <w:rsid w:val="004044F4"/>
    <w:rsid w:val="004176E0"/>
    <w:rsid w:val="004222FC"/>
    <w:rsid w:val="00432883"/>
    <w:rsid w:val="00444F24"/>
    <w:rsid w:val="004512C7"/>
    <w:rsid w:val="00462002"/>
    <w:rsid w:val="004635F7"/>
    <w:rsid w:val="004774F4"/>
    <w:rsid w:val="004915DE"/>
    <w:rsid w:val="00492B62"/>
    <w:rsid w:val="004A2758"/>
    <w:rsid w:val="004B0CEF"/>
    <w:rsid w:val="004B491C"/>
    <w:rsid w:val="004F3B7D"/>
    <w:rsid w:val="004F73EA"/>
    <w:rsid w:val="00510C0A"/>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47CB"/>
    <w:rsid w:val="005F539E"/>
    <w:rsid w:val="0061376E"/>
    <w:rsid w:val="00616642"/>
    <w:rsid w:val="00631383"/>
    <w:rsid w:val="00635ACE"/>
    <w:rsid w:val="006379EF"/>
    <w:rsid w:val="006406A6"/>
    <w:rsid w:val="006412A3"/>
    <w:rsid w:val="00645AEE"/>
    <w:rsid w:val="00647C35"/>
    <w:rsid w:val="00673F93"/>
    <w:rsid w:val="00690128"/>
    <w:rsid w:val="0069230A"/>
    <w:rsid w:val="00697060"/>
    <w:rsid w:val="006A38AF"/>
    <w:rsid w:val="006D271C"/>
    <w:rsid w:val="006D291E"/>
    <w:rsid w:val="006D5166"/>
    <w:rsid w:val="006D5565"/>
    <w:rsid w:val="006D6C5C"/>
    <w:rsid w:val="00705EF8"/>
    <w:rsid w:val="0072588D"/>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043C4"/>
    <w:rsid w:val="008378D6"/>
    <w:rsid w:val="00850626"/>
    <w:rsid w:val="00853714"/>
    <w:rsid w:val="00854027"/>
    <w:rsid w:val="00854CE3"/>
    <w:rsid w:val="00886F5E"/>
    <w:rsid w:val="00887864"/>
    <w:rsid w:val="008C0850"/>
    <w:rsid w:val="008D17E8"/>
    <w:rsid w:val="008D6518"/>
    <w:rsid w:val="008F67E1"/>
    <w:rsid w:val="0090174B"/>
    <w:rsid w:val="009063D6"/>
    <w:rsid w:val="0092222F"/>
    <w:rsid w:val="00923402"/>
    <w:rsid w:val="009317CD"/>
    <w:rsid w:val="0094797D"/>
    <w:rsid w:val="00953D87"/>
    <w:rsid w:val="0096063D"/>
    <w:rsid w:val="009627EB"/>
    <w:rsid w:val="009805F6"/>
    <w:rsid w:val="009956A5"/>
    <w:rsid w:val="009A1972"/>
    <w:rsid w:val="009A2C82"/>
    <w:rsid w:val="009B5AD7"/>
    <w:rsid w:val="009D4ECA"/>
    <w:rsid w:val="009F1042"/>
    <w:rsid w:val="00A10457"/>
    <w:rsid w:val="00A1233B"/>
    <w:rsid w:val="00A33F09"/>
    <w:rsid w:val="00A41026"/>
    <w:rsid w:val="00A63903"/>
    <w:rsid w:val="00A67E9E"/>
    <w:rsid w:val="00A71B3D"/>
    <w:rsid w:val="00A758DC"/>
    <w:rsid w:val="00A940B0"/>
    <w:rsid w:val="00AA021F"/>
    <w:rsid w:val="00AE4D2C"/>
    <w:rsid w:val="00AF32D2"/>
    <w:rsid w:val="00B23A16"/>
    <w:rsid w:val="00B62A40"/>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F1859"/>
    <w:rsid w:val="00CF6F68"/>
    <w:rsid w:val="00D0182B"/>
    <w:rsid w:val="00D06781"/>
    <w:rsid w:val="00D17096"/>
    <w:rsid w:val="00D2189F"/>
    <w:rsid w:val="00D3571E"/>
    <w:rsid w:val="00D65B20"/>
    <w:rsid w:val="00D77327"/>
    <w:rsid w:val="00D808B7"/>
    <w:rsid w:val="00D918ED"/>
    <w:rsid w:val="00DA0856"/>
    <w:rsid w:val="00DB31E8"/>
    <w:rsid w:val="00DF1847"/>
    <w:rsid w:val="00DF64F5"/>
    <w:rsid w:val="00E10B90"/>
    <w:rsid w:val="00E46185"/>
    <w:rsid w:val="00E77987"/>
    <w:rsid w:val="00E805D2"/>
    <w:rsid w:val="00E92AEC"/>
    <w:rsid w:val="00EA5044"/>
    <w:rsid w:val="00EB59C4"/>
    <w:rsid w:val="00EC4AFA"/>
    <w:rsid w:val="00F0749D"/>
    <w:rsid w:val="00F22C3A"/>
    <w:rsid w:val="00F31DF4"/>
    <w:rsid w:val="00F5066E"/>
    <w:rsid w:val="00F55496"/>
    <w:rsid w:val="00F92877"/>
    <w:rsid w:val="00FB56D6"/>
    <w:rsid w:val="00FB7AA4"/>
    <w:rsid w:val="00FD07EB"/>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03699287">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75E6-0DB8-483F-B7B1-F350CE87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7</cp:revision>
  <cp:lastPrinted>2020-12-31T18:26:00Z</cp:lastPrinted>
  <dcterms:created xsi:type="dcterms:W3CDTF">2020-12-29T22:55:00Z</dcterms:created>
  <dcterms:modified xsi:type="dcterms:W3CDTF">2021-01-04T22:06:00Z</dcterms:modified>
</cp:coreProperties>
</file>