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D732" w14:textId="1F516C10" w:rsidR="006E1958" w:rsidRPr="006E1958" w:rsidRDefault="006E1958" w:rsidP="006E1958">
      <w:pPr>
        <w:pStyle w:val="NoSpacing"/>
      </w:pPr>
      <w:r>
        <w:rPr>
          <w:noProof/>
        </w:rPr>
        <w:drawing>
          <wp:inline distT="0" distB="0" distL="0" distR="0" wp14:anchorId="55B937CE" wp14:editId="1A2867D3">
            <wp:extent cx="1495439" cy="672998"/>
            <wp:effectExtent l="0" t="0" r="0" b="0"/>
            <wp:docPr id="1" name="Picture 1" descr="Oklahoma CareerTech -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lahoma CareerTech - whit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49" cy="68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76C45" w14:textId="77777777" w:rsidR="006E1958" w:rsidRPr="006E1958" w:rsidRDefault="006E1958" w:rsidP="00471557">
      <w:pPr>
        <w:pStyle w:val="Title"/>
        <w:rPr>
          <w:b/>
          <w:sz w:val="28"/>
          <w:szCs w:val="28"/>
        </w:rPr>
      </w:pPr>
    </w:p>
    <w:p w14:paraId="6EF803BA" w14:textId="70CF4F65" w:rsidR="00471557" w:rsidRPr="00F55C75" w:rsidRDefault="00471557" w:rsidP="00471557">
      <w:pPr>
        <w:pStyle w:val="Title"/>
        <w:rPr>
          <w:b/>
          <w:sz w:val="36"/>
          <w:szCs w:val="36"/>
        </w:rPr>
      </w:pPr>
      <w:r w:rsidRPr="00F55C75">
        <w:rPr>
          <w:b/>
          <w:sz w:val="36"/>
          <w:szCs w:val="36"/>
        </w:rPr>
        <w:t xml:space="preserve">Carl Perkins </w:t>
      </w:r>
      <w:r w:rsidR="006E1958">
        <w:rPr>
          <w:b/>
          <w:sz w:val="36"/>
          <w:szCs w:val="36"/>
        </w:rPr>
        <w:t>Sub</w:t>
      </w:r>
      <w:r w:rsidR="004E0B9C">
        <w:rPr>
          <w:b/>
          <w:sz w:val="36"/>
          <w:szCs w:val="36"/>
        </w:rPr>
        <w:t>recipient</w:t>
      </w:r>
      <w:r w:rsidR="006E1958">
        <w:rPr>
          <w:b/>
          <w:sz w:val="36"/>
          <w:szCs w:val="36"/>
        </w:rPr>
        <w:t xml:space="preserve"> </w:t>
      </w:r>
      <w:r w:rsidRPr="00F55C75">
        <w:rPr>
          <w:b/>
          <w:sz w:val="36"/>
          <w:szCs w:val="36"/>
        </w:rPr>
        <w:t xml:space="preserve">Monitoring </w:t>
      </w:r>
      <w:r w:rsidR="00015BE1">
        <w:rPr>
          <w:b/>
          <w:sz w:val="36"/>
          <w:szCs w:val="36"/>
        </w:rPr>
        <w:t>Procedures</w:t>
      </w:r>
    </w:p>
    <w:p w14:paraId="70304747" w14:textId="32B3A8F6" w:rsidR="003B15BA" w:rsidRDefault="003B15BA" w:rsidP="003B15BA">
      <w:pPr>
        <w:pStyle w:val="NoSpacing"/>
      </w:pPr>
      <w:r>
        <w:t xml:space="preserve">As reflected in the Carl Perkins Subrecipient Monitoring Policy, Oklahoma Department of CareerTech is committed to compliance with the Office of Management and Budget (OMB) </w:t>
      </w:r>
      <w:r w:rsidRPr="003B15BA">
        <w:t>Uniform Guidance re</w:t>
      </w:r>
      <w:r>
        <w:t>quiring the</w:t>
      </w:r>
      <w:r w:rsidRPr="003B15BA">
        <w:t xml:space="preserve"> monitoring </w:t>
      </w:r>
      <w:r>
        <w:t>of grant subrecipients</w:t>
      </w:r>
      <w:r w:rsidRPr="003B15BA">
        <w:t xml:space="preserve">. </w:t>
      </w:r>
      <w:r>
        <w:rPr>
          <w:rFonts w:cstheme="minorHAnsi"/>
        </w:rPr>
        <w:t>§</w:t>
      </w:r>
      <w:r>
        <w:t>200.332 (d).  As such, the following procedures will be followed in conducting Carl Perkins monitoring activities:</w:t>
      </w:r>
    </w:p>
    <w:p w14:paraId="7E7B4312" w14:textId="59C8FBA7" w:rsidR="003B15BA" w:rsidRDefault="003B15BA" w:rsidP="003B15BA">
      <w:pPr>
        <w:pStyle w:val="NoSpacing"/>
      </w:pPr>
    </w:p>
    <w:p w14:paraId="072B68DB" w14:textId="188C6016" w:rsidR="003B15BA" w:rsidRPr="003B15BA" w:rsidRDefault="003B15BA" w:rsidP="003B15BA">
      <w:pPr>
        <w:spacing w:after="0" w:line="240" w:lineRule="auto"/>
      </w:pPr>
      <w:r>
        <w:rPr>
          <w:rFonts w:eastAsiaTheme="minorEastAsia"/>
          <w:b/>
          <w:color w:val="A50021"/>
          <w:sz w:val="28"/>
          <w:szCs w:val="28"/>
        </w:rPr>
        <w:t>Risk Assessment</w:t>
      </w:r>
    </w:p>
    <w:p w14:paraId="23AAD0DD" w14:textId="39A85894" w:rsidR="003E6A00" w:rsidRDefault="003E6A00" w:rsidP="003B15BA">
      <w:pPr>
        <w:pStyle w:val="NoSpacing"/>
      </w:pPr>
      <w:r>
        <w:t>A comprehensive risk assessment involving all potential subrecipients will be conducted before each year’s award decision.</w:t>
      </w:r>
      <w:r w:rsidR="00924DE0">
        <w:t xml:space="preserve">  The results of this risk assessment will determine the following fiscal year monitoring schedule. </w:t>
      </w:r>
    </w:p>
    <w:p w14:paraId="27F99CD5" w14:textId="77777777" w:rsidR="00F3357A" w:rsidRDefault="00F3357A" w:rsidP="003B15BA">
      <w:pPr>
        <w:pStyle w:val="NoSpacing"/>
      </w:pPr>
    </w:p>
    <w:p w14:paraId="7D801362" w14:textId="25AAE400" w:rsidR="00924DE0" w:rsidRPr="00F3357A" w:rsidRDefault="00F3357A" w:rsidP="00803A11">
      <w:pPr>
        <w:pStyle w:val="NoSpacing"/>
        <w:ind w:firstLine="360"/>
        <w:rPr>
          <w:b/>
          <w:sz w:val="24"/>
          <w:szCs w:val="24"/>
        </w:rPr>
      </w:pPr>
      <w:r w:rsidRPr="00F3357A">
        <w:rPr>
          <w:b/>
          <w:color w:val="0070C0"/>
          <w:sz w:val="24"/>
          <w:szCs w:val="24"/>
        </w:rPr>
        <w:t>Risk Assessment Steps:</w:t>
      </w:r>
    </w:p>
    <w:p w14:paraId="1BB91016" w14:textId="77777777" w:rsidR="00F3357A" w:rsidRDefault="00F3357A" w:rsidP="003B15BA">
      <w:pPr>
        <w:pStyle w:val="NoSpacing"/>
      </w:pPr>
    </w:p>
    <w:p w14:paraId="73861FEA" w14:textId="58A7DD56" w:rsidR="00F3357A" w:rsidRDefault="00DB336D" w:rsidP="00C848DD">
      <w:pPr>
        <w:pStyle w:val="NoSpacing"/>
        <w:numPr>
          <w:ilvl w:val="0"/>
          <w:numId w:val="21"/>
        </w:numPr>
      </w:pPr>
      <w:r>
        <w:t xml:space="preserve">The </w:t>
      </w:r>
      <w:r w:rsidR="00F3357A">
        <w:t>Perkins Administration Division will provide the following information to the Internal Auditor for the risk assessment document:</w:t>
      </w:r>
    </w:p>
    <w:p w14:paraId="26374E8A" w14:textId="79B8EDA7" w:rsidR="00F3357A" w:rsidRDefault="00F3357A" w:rsidP="00F3357A">
      <w:pPr>
        <w:pStyle w:val="NoSpacing"/>
        <w:numPr>
          <w:ilvl w:val="1"/>
          <w:numId w:val="21"/>
        </w:numPr>
      </w:pPr>
      <w:r>
        <w:t xml:space="preserve">List of schools </w:t>
      </w:r>
      <w:r w:rsidR="000C1DC1">
        <w:t xml:space="preserve">by program initiative code </w:t>
      </w:r>
      <w:r>
        <w:t xml:space="preserve">that received a Perkins Basic Grant award for the </w:t>
      </w:r>
      <w:r w:rsidR="000C1DC1">
        <w:t>prior</w:t>
      </w:r>
      <w:r>
        <w:t xml:space="preserve"> fiscal year</w:t>
      </w:r>
    </w:p>
    <w:p w14:paraId="30E6CA98" w14:textId="61128BDF" w:rsidR="00F3357A" w:rsidRDefault="000C1DC1" w:rsidP="00F3357A">
      <w:pPr>
        <w:pStyle w:val="NoSpacing"/>
        <w:numPr>
          <w:ilvl w:val="1"/>
          <w:numId w:val="21"/>
        </w:numPr>
      </w:pPr>
      <w:r>
        <w:t>Prior</w:t>
      </w:r>
      <w:r w:rsidR="00F3357A">
        <w:t xml:space="preserve"> fiscal year award amounts for each o</w:t>
      </w:r>
      <w:bookmarkStart w:id="0" w:name="_GoBack"/>
      <w:bookmarkEnd w:id="0"/>
      <w:r w:rsidR="00F3357A">
        <w:t>f the schools</w:t>
      </w:r>
    </w:p>
    <w:p w14:paraId="4183B0F0" w14:textId="2FC747E8" w:rsidR="00F3357A" w:rsidRDefault="000C1DC1" w:rsidP="00F3357A">
      <w:pPr>
        <w:pStyle w:val="NoSpacing"/>
        <w:numPr>
          <w:ilvl w:val="1"/>
          <w:numId w:val="21"/>
        </w:numPr>
      </w:pPr>
      <w:r>
        <w:t>Program performance information for each school from two years ago (match submission of data submitted in December CAR)</w:t>
      </w:r>
    </w:p>
    <w:p w14:paraId="0B1E54BE" w14:textId="7F7D2CD6" w:rsidR="000C1DC1" w:rsidRDefault="000C1DC1" w:rsidP="00F3357A">
      <w:pPr>
        <w:pStyle w:val="NoSpacing"/>
        <w:numPr>
          <w:ilvl w:val="1"/>
          <w:numId w:val="21"/>
        </w:numPr>
      </w:pPr>
      <w:r>
        <w:t xml:space="preserve">History of performance information for the prior fiscal year </w:t>
      </w:r>
    </w:p>
    <w:p w14:paraId="59B3B870" w14:textId="06E351F5" w:rsidR="000C1DC1" w:rsidRDefault="000C1DC1" w:rsidP="00F3357A">
      <w:pPr>
        <w:pStyle w:val="NoSpacing"/>
        <w:numPr>
          <w:ilvl w:val="1"/>
          <w:numId w:val="21"/>
        </w:numPr>
      </w:pPr>
      <w:r>
        <w:t>Complexity of grant information for the prior fiscal year</w:t>
      </w:r>
    </w:p>
    <w:p w14:paraId="2BC4C831" w14:textId="4C4EE208" w:rsidR="000C1DC1" w:rsidRDefault="000C1DC1" w:rsidP="00F3357A">
      <w:pPr>
        <w:pStyle w:val="NoSpacing"/>
        <w:numPr>
          <w:ilvl w:val="1"/>
          <w:numId w:val="21"/>
        </w:numPr>
      </w:pPr>
      <w:r>
        <w:t>Budget information for the prior fiscal year</w:t>
      </w:r>
    </w:p>
    <w:p w14:paraId="3428ED08" w14:textId="48849EE4" w:rsidR="000C1DC1" w:rsidRDefault="000C1DC1" w:rsidP="00C848DD">
      <w:pPr>
        <w:pStyle w:val="NoSpacing"/>
        <w:numPr>
          <w:ilvl w:val="0"/>
          <w:numId w:val="21"/>
        </w:numPr>
      </w:pPr>
      <w:r>
        <w:t>The Internal Auditor will ensure the information provided by the Perkins Administration Division is populated in the risk assessment document.</w:t>
      </w:r>
    </w:p>
    <w:p w14:paraId="1C3855F5" w14:textId="150D23F3" w:rsidR="00F3357A" w:rsidRDefault="00F3357A" w:rsidP="00C848DD">
      <w:pPr>
        <w:pStyle w:val="NoSpacing"/>
        <w:numPr>
          <w:ilvl w:val="0"/>
          <w:numId w:val="21"/>
        </w:numPr>
      </w:pPr>
      <w:r>
        <w:t xml:space="preserve">The Internal Auditor will </w:t>
      </w:r>
      <w:r w:rsidR="000C1DC1">
        <w:t xml:space="preserve">review the audits of all schools receiving a prior fiscal year award and </w:t>
      </w:r>
      <w:r>
        <w:t>populate the appropriate columns of the risk assessment document with this information</w:t>
      </w:r>
      <w:r w:rsidR="000C1DC1">
        <w:t>.</w:t>
      </w:r>
      <w:r>
        <w:t xml:space="preserve"> </w:t>
      </w:r>
    </w:p>
    <w:p w14:paraId="545CAA1F" w14:textId="77777777" w:rsidR="00803A11" w:rsidRDefault="00803A11" w:rsidP="00803A11">
      <w:pPr>
        <w:pStyle w:val="NoSpacing"/>
      </w:pPr>
    </w:p>
    <w:p w14:paraId="01F745FA" w14:textId="77777777" w:rsidR="00803A11" w:rsidRPr="00F3357A" w:rsidRDefault="00803A11" w:rsidP="00803A11">
      <w:pPr>
        <w:pStyle w:val="NoSpacing"/>
        <w:ind w:firstLine="360"/>
        <w:rPr>
          <w:b/>
          <w:sz w:val="24"/>
          <w:szCs w:val="24"/>
        </w:rPr>
      </w:pPr>
      <w:r w:rsidRPr="00F3357A">
        <w:rPr>
          <w:b/>
          <w:color w:val="0070C0"/>
          <w:sz w:val="24"/>
          <w:szCs w:val="24"/>
        </w:rPr>
        <w:t>Risk Assessment Steps:</w:t>
      </w:r>
    </w:p>
    <w:p w14:paraId="722BF065" w14:textId="58B4BF56" w:rsidR="00803A11" w:rsidRDefault="00803A11" w:rsidP="00803A11">
      <w:pPr>
        <w:pStyle w:val="NoSpacing"/>
        <w:ind w:left="720"/>
      </w:pPr>
      <w:r>
        <w:t xml:space="preserve">The following table reflects risk factors to be evaluated; risk measure; and value assignment: </w:t>
      </w:r>
    </w:p>
    <w:p w14:paraId="06442BB7" w14:textId="147A4201" w:rsidR="00803A11" w:rsidRDefault="00803A11" w:rsidP="00803A11">
      <w:pPr>
        <w:pStyle w:val="NoSpacing"/>
      </w:pPr>
    </w:p>
    <w:p w14:paraId="3142CF7F" w14:textId="6B1F03C7" w:rsidR="00615265" w:rsidRDefault="00615265" w:rsidP="00803A11">
      <w:pPr>
        <w:pStyle w:val="NoSpacing"/>
      </w:pPr>
    </w:p>
    <w:p w14:paraId="1FE0DA2D" w14:textId="101EA95F" w:rsidR="00615265" w:rsidRDefault="00615265" w:rsidP="00803A11">
      <w:pPr>
        <w:pStyle w:val="NoSpacing"/>
      </w:pPr>
    </w:p>
    <w:p w14:paraId="03545DC2" w14:textId="54DAC10D" w:rsidR="00615265" w:rsidRDefault="00615265" w:rsidP="00803A11">
      <w:pPr>
        <w:pStyle w:val="NoSpacing"/>
      </w:pPr>
    </w:p>
    <w:p w14:paraId="672CF94B" w14:textId="4364AFD3" w:rsidR="008A1C60" w:rsidRDefault="008A1C60" w:rsidP="00803A11">
      <w:pPr>
        <w:pStyle w:val="NoSpacing"/>
      </w:pPr>
    </w:p>
    <w:p w14:paraId="08BA1BFB" w14:textId="66D015FE" w:rsidR="008A1C60" w:rsidRDefault="008A1C60" w:rsidP="00803A11">
      <w:pPr>
        <w:pStyle w:val="NoSpacing"/>
      </w:pPr>
    </w:p>
    <w:p w14:paraId="57E898C0" w14:textId="1138D1AC" w:rsidR="008A1C60" w:rsidRDefault="008A1C60" w:rsidP="00803A11">
      <w:pPr>
        <w:pStyle w:val="NoSpacing"/>
      </w:pPr>
    </w:p>
    <w:p w14:paraId="4BD077BE" w14:textId="178EA013" w:rsidR="008A1C60" w:rsidRDefault="008A1C60" w:rsidP="00803A11">
      <w:pPr>
        <w:pStyle w:val="NoSpacing"/>
      </w:pPr>
    </w:p>
    <w:p w14:paraId="559FA988" w14:textId="69379BD3" w:rsidR="008A1C60" w:rsidRDefault="008A1C60" w:rsidP="00803A11">
      <w:pPr>
        <w:pStyle w:val="NoSpacing"/>
      </w:pPr>
    </w:p>
    <w:p w14:paraId="1561CA31" w14:textId="639679CA" w:rsidR="008A1C60" w:rsidRDefault="008A1C60" w:rsidP="00803A11">
      <w:pPr>
        <w:pStyle w:val="NoSpacing"/>
      </w:pPr>
    </w:p>
    <w:p w14:paraId="1ECB18DF" w14:textId="7085D85C" w:rsidR="008A1C60" w:rsidRDefault="008A1C60" w:rsidP="00803A11">
      <w:pPr>
        <w:pStyle w:val="NoSpacing"/>
      </w:pPr>
    </w:p>
    <w:p w14:paraId="59CA27D9" w14:textId="3B67955C" w:rsidR="008A1C60" w:rsidRDefault="008A1C60" w:rsidP="00803A11">
      <w:pPr>
        <w:pStyle w:val="NoSpacing"/>
      </w:pPr>
    </w:p>
    <w:p w14:paraId="0FD9C8FC" w14:textId="310027DE" w:rsidR="008A1C60" w:rsidRDefault="008A1C60" w:rsidP="00803A11">
      <w:pPr>
        <w:pStyle w:val="NoSpacing"/>
      </w:pPr>
    </w:p>
    <w:bookmarkStart w:id="1" w:name="_MON_1673780350"/>
    <w:bookmarkEnd w:id="1"/>
    <w:p w14:paraId="6E062B97" w14:textId="65B10086" w:rsidR="008A1C60" w:rsidRDefault="00C1795C" w:rsidP="00803A11">
      <w:pPr>
        <w:pStyle w:val="NoSpacing"/>
      </w:pPr>
      <w:r>
        <w:object w:dxaOrig="11651" w:dyaOrig="14434" w14:anchorId="5855E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.55pt;height:721.85pt" o:ole="">
            <v:imagedata r:id="rId12" o:title=""/>
          </v:shape>
          <o:OLEObject Type="Embed" ProgID="Excel.Sheet.12" ShapeID="_x0000_i1025" DrawAspect="Content" ObjectID="_1684844779" r:id="rId13"/>
        </w:object>
      </w:r>
    </w:p>
    <w:p w14:paraId="42897EB8" w14:textId="77777777" w:rsidR="008A1C60" w:rsidRDefault="008A1C60" w:rsidP="00803A11">
      <w:pPr>
        <w:pStyle w:val="NoSpacing"/>
      </w:pPr>
    </w:p>
    <w:p w14:paraId="1139C7BF" w14:textId="086AC634" w:rsidR="00D177C4" w:rsidRDefault="00F17922" w:rsidP="003B15BA">
      <w:pPr>
        <w:pStyle w:val="NoSpacing"/>
      </w:pPr>
      <w:r>
        <w:t>After</w:t>
      </w:r>
      <w:r w:rsidRPr="00F17922">
        <w:t xml:space="preserve"> completion of the risk assessment, 20% </w:t>
      </w:r>
      <w:r>
        <w:t>of the subrecipient</w:t>
      </w:r>
      <w:r w:rsidR="007C0E7F">
        <w:t>s</w:t>
      </w:r>
      <w:r>
        <w:t xml:space="preserve"> </w:t>
      </w:r>
      <w:r w:rsidRPr="00F17922">
        <w:t xml:space="preserve">will be </w:t>
      </w:r>
      <w:r>
        <w:t xml:space="preserve">chosen for monitoring in the upcoming fiscal year.  </w:t>
      </w:r>
      <w:r w:rsidRPr="00F17922">
        <w:t>Based on the results of the risk assessment, a determination will be made as to the type of monitoring that is appropriate for each subrecipient: a desk review; a desk review with training and technical assistance; or an onsite / virtual visit</w:t>
      </w:r>
      <w:r>
        <w:t xml:space="preserve">.  </w:t>
      </w:r>
    </w:p>
    <w:p w14:paraId="2DB3C4DF" w14:textId="64946F2F" w:rsidR="00F17922" w:rsidRDefault="00F17922" w:rsidP="003B15BA">
      <w:pPr>
        <w:pStyle w:val="NoSpacing"/>
      </w:pPr>
    </w:p>
    <w:p w14:paraId="0634380C" w14:textId="27E74675" w:rsidR="00F17922" w:rsidRDefault="00F17922" w:rsidP="003B15BA">
      <w:pPr>
        <w:pStyle w:val="NoSpacing"/>
      </w:pPr>
      <w:r>
        <w:rPr>
          <w:rFonts w:eastAsiaTheme="minorEastAsia"/>
          <w:b/>
          <w:color w:val="A50021"/>
          <w:sz w:val="28"/>
          <w:szCs w:val="28"/>
        </w:rPr>
        <w:t>Monitoring Plan</w:t>
      </w:r>
    </w:p>
    <w:p w14:paraId="48FC67FB" w14:textId="77777777" w:rsidR="00D177C4" w:rsidRDefault="00D177C4" w:rsidP="00D177C4">
      <w:pPr>
        <w:pStyle w:val="NoSpacing"/>
        <w:ind w:left="720"/>
      </w:pPr>
    </w:p>
    <w:p w14:paraId="63C721C7" w14:textId="77777777" w:rsidR="00F17922" w:rsidRDefault="00F30E8D" w:rsidP="00F17922">
      <w:pPr>
        <w:pStyle w:val="NoSpacing"/>
        <w:ind w:firstLine="720"/>
        <w:rPr>
          <w:sz w:val="24"/>
          <w:szCs w:val="24"/>
        </w:rPr>
      </w:pPr>
      <w:r w:rsidRPr="004E0B9C">
        <w:rPr>
          <w:color w:val="0070C0"/>
          <w:sz w:val="24"/>
          <w:szCs w:val="24"/>
        </w:rPr>
        <w:t>Desk Reviews:</w:t>
      </w:r>
    </w:p>
    <w:p w14:paraId="4C65AC86" w14:textId="406C5611" w:rsidR="00F555CE" w:rsidRPr="00F17922" w:rsidRDefault="00F17922" w:rsidP="00F17922">
      <w:pPr>
        <w:pStyle w:val="NoSpacing"/>
        <w:ind w:firstLine="720"/>
      </w:pPr>
      <w:r w:rsidRPr="00F17922">
        <w:t>Th</w:t>
      </w:r>
      <w:r>
        <w:t xml:space="preserve">e following steps will be followed for those </w:t>
      </w:r>
      <w:r w:rsidRPr="00F17922">
        <w:t>selected for a desk review</w:t>
      </w:r>
      <w:r w:rsidR="00F555CE" w:rsidRPr="00F17922">
        <w:t>:</w:t>
      </w:r>
    </w:p>
    <w:p w14:paraId="3539D6E4" w14:textId="16E5E7F9" w:rsidR="00031D09" w:rsidRPr="00F17922" w:rsidRDefault="00031D09" w:rsidP="00F17922">
      <w:pPr>
        <w:pStyle w:val="NoSpacing"/>
        <w:numPr>
          <w:ilvl w:val="0"/>
          <w:numId w:val="23"/>
        </w:numPr>
      </w:pPr>
      <w:r w:rsidRPr="00F17922">
        <w:t>The Internal Auditor will:</w:t>
      </w:r>
    </w:p>
    <w:p w14:paraId="33CFC9C5" w14:textId="00B9B229" w:rsidR="00031D09" w:rsidRDefault="00031D09" w:rsidP="00A847B7">
      <w:pPr>
        <w:pStyle w:val="NoSpacing"/>
        <w:numPr>
          <w:ilvl w:val="1"/>
          <w:numId w:val="23"/>
        </w:numPr>
      </w:pPr>
      <w:r w:rsidRPr="00F17922">
        <w:t>Send notification to the subrecipient that they will be monitored</w:t>
      </w:r>
      <w:r w:rsidR="00A847B7">
        <w:t>.  This notification will include the desk review document and the deadline for the completed document to be returned</w:t>
      </w:r>
    </w:p>
    <w:p w14:paraId="374A4BA3" w14:textId="483F4E53" w:rsidR="00031D09" w:rsidRDefault="00A847B7" w:rsidP="00A847B7">
      <w:pPr>
        <w:pStyle w:val="NoSpacing"/>
        <w:numPr>
          <w:ilvl w:val="1"/>
          <w:numId w:val="23"/>
        </w:numPr>
      </w:pPr>
      <w:r>
        <w:t>Review the subrecipient’s prior year application; performance data from two years ago; prior year budget and invoices; and the returned desk review document with any accompanying evidence.</w:t>
      </w:r>
    </w:p>
    <w:p w14:paraId="0F9D52DD" w14:textId="77777777" w:rsidR="00A847B7" w:rsidRDefault="00A847B7" w:rsidP="00A847B7">
      <w:pPr>
        <w:pStyle w:val="NoSpacing"/>
        <w:numPr>
          <w:ilvl w:val="1"/>
          <w:numId w:val="23"/>
        </w:numPr>
      </w:pPr>
      <w:r>
        <w:t>If necessary, request additional information or supporting documentation from the subrecipient via email or phone.</w:t>
      </w:r>
    </w:p>
    <w:p w14:paraId="1F52FD6D" w14:textId="77777777" w:rsidR="00A847B7" w:rsidRDefault="00A847B7" w:rsidP="00A847B7">
      <w:pPr>
        <w:pStyle w:val="NoSpacing"/>
        <w:numPr>
          <w:ilvl w:val="1"/>
          <w:numId w:val="23"/>
        </w:numPr>
      </w:pPr>
      <w:r>
        <w:t>With input from the Perkins Administration Division, pr</w:t>
      </w:r>
      <w:r w:rsidR="00FF7482" w:rsidRPr="00F17922">
        <w:t>epare summary</w:t>
      </w:r>
      <w:r w:rsidR="00F555CE">
        <w:t xml:space="preserve"> of findings, commendations, recommendations, and/or need for </w:t>
      </w:r>
      <w:r w:rsidR="00FF7482">
        <w:t>additional</w:t>
      </w:r>
      <w:r w:rsidR="00F555CE">
        <w:t xml:space="preserve"> monitoring.</w:t>
      </w:r>
    </w:p>
    <w:p w14:paraId="4A160678" w14:textId="77777777" w:rsidR="00A847B7" w:rsidRDefault="00185B1E" w:rsidP="00A847B7">
      <w:pPr>
        <w:pStyle w:val="NoSpacing"/>
        <w:numPr>
          <w:ilvl w:val="1"/>
          <w:numId w:val="23"/>
        </w:numPr>
      </w:pPr>
      <w:r>
        <w:t xml:space="preserve">If </w:t>
      </w:r>
      <w:r w:rsidR="00A847B7">
        <w:t>the desk review</w:t>
      </w:r>
      <w:r>
        <w:t xml:space="preserve"> reveals the </w:t>
      </w:r>
      <w:r w:rsidR="00D177C4">
        <w:t xml:space="preserve">subrecipient </w:t>
      </w:r>
      <w:r>
        <w:t>need</w:t>
      </w:r>
      <w:r w:rsidR="00D177C4">
        <w:t>s additional assistance, training and/or technical assistance will be scheduled.</w:t>
      </w:r>
      <w:r>
        <w:t xml:space="preserve"> </w:t>
      </w:r>
    </w:p>
    <w:p w14:paraId="2EAF684C" w14:textId="77777777" w:rsidR="00A847B7" w:rsidRDefault="004E0B9C" w:rsidP="00A847B7">
      <w:pPr>
        <w:pStyle w:val="NoSpacing"/>
        <w:numPr>
          <w:ilvl w:val="1"/>
          <w:numId w:val="23"/>
        </w:numPr>
      </w:pPr>
      <w:r>
        <w:t>Submi</w:t>
      </w:r>
      <w:r w:rsidR="00FF7482">
        <w:t>t</w:t>
      </w:r>
      <w:r>
        <w:t xml:space="preserve"> letter of monitoring outcome to subrecipient indicating commendations, recommendations, and need for corrective action plan for any findings.</w:t>
      </w:r>
    </w:p>
    <w:p w14:paraId="46C6B5C4" w14:textId="77777777" w:rsidR="00431AD1" w:rsidRDefault="004E0B9C" w:rsidP="00431AD1">
      <w:pPr>
        <w:pStyle w:val="NoSpacing"/>
        <w:numPr>
          <w:ilvl w:val="2"/>
          <w:numId w:val="23"/>
        </w:numPr>
      </w:pPr>
      <w:r>
        <w:t>If findings are noted, additional review will be required including follow-up desk review and/or on-site or virtual visit.</w:t>
      </w:r>
    </w:p>
    <w:p w14:paraId="297DE6AB" w14:textId="32FE54A3" w:rsidR="004E0B9C" w:rsidRDefault="004E0B9C" w:rsidP="00431AD1">
      <w:pPr>
        <w:pStyle w:val="NoSpacing"/>
        <w:numPr>
          <w:ilvl w:val="1"/>
          <w:numId w:val="23"/>
        </w:numPr>
      </w:pPr>
      <w:r>
        <w:t xml:space="preserve">Once </w:t>
      </w:r>
      <w:r w:rsidR="00431AD1">
        <w:t xml:space="preserve">all </w:t>
      </w:r>
      <w:r>
        <w:t>findings have been resolved, a letter of final outcome will be</w:t>
      </w:r>
      <w:r w:rsidR="005F0323">
        <w:t xml:space="preserve"> </w:t>
      </w:r>
      <w:r>
        <w:t xml:space="preserve">provided to the subrecipient.  </w:t>
      </w:r>
    </w:p>
    <w:p w14:paraId="3C473854" w14:textId="77777777" w:rsidR="00FF7482" w:rsidRDefault="00FF7482" w:rsidP="00FF7482">
      <w:pPr>
        <w:pStyle w:val="NoSpacing"/>
        <w:ind w:firstLine="720"/>
        <w:rPr>
          <w:color w:val="0070C0"/>
          <w:sz w:val="24"/>
          <w:szCs w:val="24"/>
        </w:rPr>
      </w:pPr>
    </w:p>
    <w:p w14:paraId="706959B8" w14:textId="56369E7B" w:rsidR="00FF7482" w:rsidRPr="004E0B9C" w:rsidRDefault="00FF7482" w:rsidP="00FF7482">
      <w:pPr>
        <w:pStyle w:val="NoSpacing"/>
        <w:ind w:firstLine="720"/>
        <w:rPr>
          <w:sz w:val="24"/>
          <w:szCs w:val="24"/>
        </w:rPr>
      </w:pPr>
      <w:r w:rsidRPr="004E0B9C">
        <w:rPr>
          <w:color w:val="0070C0"/>
          <w:sz w:val="24"/>
          <w:szCs w:val="24"/>
        </w:rPr>
        <w:t>Desk Reviews</w:t>
      </w:r>
      <w:r>
        <w:rPr>
          <w:color w:val="0070C0"/>
          <w:sz w:val="24"/>
          <w:szCs w:val="24"/>
        </w:rPr>
        <w:t xml:space="preserve"> with Training and Technical Assi</w:t>
      </w:r>
      <w:r w:rsidR="007C0E7F">
        <w:rPr>
          <w:color w:val="0070C0"/>
          <w:sz w:val="24"/>
          <w:szCs w:val="24"/>
        </w:rPr>
        <w:t>s</w:t>
      </w:r>
      <w:r>
        <w:rPr>
          <w:color w:val="0070C0"/>
          <w:sz w:val="24"/>
          <w:szCs w:val="24"/>
        </w:rPr>
        <w:t>tance</w:t>
      </w:r>
      <w:r w:rsidRPr="004E0B9C">
        <w:rPr>
          <w:color w:val="0070C0"/>
          <w:sz w:val="24"/>
          <w:szCs w:val="24"/>
        </w:rPr>
        <w:t>:</w:t>
      </w:r>
    </w:p>
    <w:p w14:paraId="0E670787" w14:textId="4B396424" w:rsidR="007C0E7F" w:rsidRPr="00F17922" w:rsidRDefault="007C0E7F" w:rsidP="007C0E7F">
      <w:pPr>
        <w:pStyle w:val="NoSpacing"/>
        <w:ind w:left="720"/>
      </w:pPr>
      <w:r w:rsidRPr="00F17922">
        <w:t>Th</w:t>
      </w:r>
      <w:r>
        <w:t xml:space="preserve">e following steps will be followed for those </w:t>
      </w:r>
      <w:r w:rsidRPr="00F17922">
        <w:t>selected for a desk review</w:t>
      </w:r>
      <w:r>
        <w:t xml:space="preserve"> with training and/or technical assistance</w:t>
      </w:r>
      <w:r w:rsidRPr="00F17922">
        <w:t>:</w:t>
      </w:r>
    </w:p>
    <w:p w14:paraId="21988582" w14:textId="77777777" w:rsidR="007C0E7F" w:rsidRPr="00F17922" w:rsidRDefault="007C0E7F" w:rsidP="007C0E7F">
      <w:pPr>
        <w:pStyle w:val="NoSpacing"/>
        <w:numPr>
          <w:ilvl w:val="0"/>
          <w:numId w:val="23"/>
        </w:numPr>
      </w:pPr>
      <w:r w:rsidRPr="00F17922">
        <w:t>The Internal Auditor will:</w:t>
      </w:r>
    </w:p>
    <w:p w14:paraId="7346A04B" w14:textId="77777777" w:rsidR="007C0E7F" w:rsidRDefault="007C0E7F" w:rsidP="007C0E7F">
      <w:pPr>
        <w:pStyle w:val="NoSpacing"/>
        <w:numPr>
          <w:ilvl w:val="1"/>
          <w:numId w:val="23"/>
        </w:numPr>
      </w:pPr>
      <w:r w:rsidRPr="00F17922">
        <w:t>Send notification to the subrecipient that they will be monitored</w:t>
      </w:r>
      <w:r>
        <w:t>.  This notification will include the desk review document and the deadline for the completed document to be returned</w:t>
      </w:r>
    </w:p>
    <w:p w14:paraId="778055CD" w14:textId="77777777" w:rsidR="007C0E7F" w:rsidRDefault="007C0E7F" w:rsidP="007C0E7F">
      <w:pPr>
        <w:pStyle w:val="NoSpacing"/>
        <w:numPr>
          <w:ilvl w:val="1"/>
          <w:numId w:val="23"/>
        </w:numPr>
      </w:pPr>
      <w:r>
        <w:t>Review the subrecipient’s prior year application; performance data from two years ago; prior year budget and invoices; and the returned desk review document with any accompanying evidence.</w:t>
      </w:r>
    </w:p>
    <w:p w14:paraId="1168A3B8" w14:textId="73C39A42" w:rsidR="007C0E7F" w:rsidRDefault="007C0E7F" w:rsidP="007C0E7F">
      <w:pPr>
        <w:pStyle w:val="NoSpacing"/>
        <w:numPr>
          <w:ilvl w:val="1"/>
          <w:numId w:val="23"/>
        </w:numPr>
      </w:pPr>
      <w:r>
        <w:t>If necessary, request additional information or supporting documentation from the subrecipient via email or phone.</w:t>
      </w:r>
    </w:p>
    <w:p w14:paraId="3201D1D6" w14:textId="2DB60BDB" w:rsidR="007C0E7F" w:rsidRDefault="007C0E7F" w:rsidP="007C0E7F">
      <w:pPr>
        <w:pStyle w:val="NoSpacing"/>
        <w:numPr>
          <w:ilvl w:val="1"/>
          <w:numId w:val="23"/>
        </w:numPr>
      </w:pPr>
      <w:r>
        <w:t>Schedule training and/or technical assistance with the appropriate CareerTech staff.</w:t>
      </w:r>
    </w:p>
    <w:p w14:paraId="765D8243" w14:textId="59CE4F01" w:rsidR="007C0E7F" w:rsidRDefault="0091068A" w:rsidP="007C0E7F">
      <w:pPr>
        <w:pStyle w:val="NoSpacing"/>
        <w:numPr>
          <w:ilvl w:val="1"/>
          <w:numId w:val="23"/>
        </w:numPr>
      </w:pPr>
      <w:r>
        <w:t>With</w:t>
      </w:r>
      <w:r w:rsidR="007C0E7F">
        <w:t xml:space="preserve"> input from the Perkins Administration Division, pr</w:t>
      </w:r>
      <w:r w:rsidR="007C0E7F" w:rsidRPr="00F17922">
        <w:t>epare summary</w:t>
      </w:r>
      <w:r w:rsidR="007C0E7F">
        <w:t xml:space="preserve"> of findings, commendations, recommendations, and/or need for additional monitoring.</w:t>
      </w:r>
    </w:p>
    <w:p w14:paraId="5316C90A" w14:textId="77777777" w:rsidR="007C0E7F" w:rsidRDefault="007C0E7F" w:rsidP="007C0E7F">
      <w:pPr>
        <w:pStyle w:val="NoSpacing"/>
        <w:numPr>
          <w:ilvl w:val="1"/>
          <w:numId w:val="23"/>
        </w:numPr>
      </w:pPr>
      <w:r>
        <w:t>Submit letter of monitoring outcome to subrecipient indicating commendations, recommendations, and need for corrective action plan for any findings.</w:t>
      </w:r>
    </w:p>
    <w:p w14:paraId="4961014A" w14:textId="60A95AFF" w:rsidR="002E5E8C" w:rsidRDefault="007C0E7F" w:rsidP="002E5E8C">
      <w:pPr>
        <w:pStyle w:val="NoSpacing"/>
        <w:numPr>
          <w:ilvl w:val="2"/>
          <w:numId w:val="23"/>
        </w:numPr>
      </w:pPr>
      <w:r>
        <w:t>If findings are noted, additional review will be required including follow-up desk review and/or on-site or virtual visit.</w:t>
      </w:r>
    </w:p>
    <w:p w14:paraId="5C14E145" w14:textId="07F178B5" w:rsidR="002E5E8C" w:rsidRDefault="002E5E8C" w:rsidP="005D7247">
      <w:pPr>
        <w:pStyle w:val="NoSpacing"/>
        <w:numPr>
          <w:ilvl w:val="1"/>
          <w:numId w:val="23"/>
        </w:numPr>
      </w:pPr>
      <w:r>
        <w:lastRenderedPageBreak/>
        <w:t>Submit letter of monitoring outcome to subrecipient indicating commendations, recommendations, and need for corrective action plan for any findings.</w:t>
      </w:r>
    </w:p>
    <w:p w14:paraId="55B076EB" w14:textId="1EC5D94F" w:rsidR="002E5E8C" w:rsidRDefault="002E5E8C" w:rsidP="005D7247">
      <w:pPr>
        <w:pStyle w:val="NoSpacing"/>
        <w:numPr>
          <w:ilvl w:val="1"/>
          <w:numId w:val="23"/>
        </w:numPr>
      </w:pPr>
      <w:r>
        <w:t>Once all findings have been resolved, a letter of final outcome will be provided to the subrecipient.</w:t>
      </w:r>
    </w:p>
    <w:p w14:paraId="63BE8C32" w14:textId="39FD47E6" w:rsidR="00FF7482" w:rsidRDefault="00FF7482" w:rsidP="002E5E8C">
      <w:pPr>
        <w:pStyle w:val="NoSpacing"/>
        <w:ind w:left="2880"/>
      </w:pPr>
    </w:p>
    <w:p w14:paraId="6472BB68" w14:textId="579DC566" w:rsidR="00D177C4" w:rsidRPr="00D177C4" w:rsidRDefault="00D177C4" w:rsidP="0091068A">
      <w:pPr>
        <w:pStyle w:val="NoSpacing"/>
        <w:ind w:firstLine="720"/>
        <w:rPr>
          <w:sz w:val="24"/>
          <w:szCs w:val="24"/>
        </w:rPr>
      </w:pPr>
      <w:r w:rsidRPr="00D177C4">
        <w:rPr>
          <w:color w:val="0070C0"/>
          <w:sz w:val="24"/>
          <w:szCs w:val="24"/>
        </w:rPr>
        <w:t>On</w:t>
      </w:r>
      <w:r w:rsidR="00FC6327">
        <w:rPr>
          <w:color w:val="0070C0"/>
          <w:sz w:val="24"/>
          <w:szCs w:val="24"/>
        </w:rPr>
        <w:t>-</w:t>
      </w:r>
      <w:r w:rsidRPr="00D177C4">
        <w:rPr>
          <w:color w:val="0070C0"/>
          <w:sz w:val="24"/>
          <w:szCs w:val="24"/>
        </w:rPr>
        <w:t>site or Virtual Reviews:</w:t>
      </w:r>
    </w:p>
    <w:p w14:paraId="145E34CE" w14:textId="2B0D2CEA" w:rsidR="002E5E8C" w:rsidRDefault="002E5E8C" w:rsidP="0091068A">
      <w:pPr>
        <w:pStyle w:val="NoSpacing"/>
        <w:ind w:firstLine="720"/>
      </w:pPr>
      <w:r w:rsidRPr="00F17922">
        <w:t>Th</w:t>
      </w:r>
      <w:r>
        <w:t xml:space="preserve">e following steps will be followed for those </w:t>
      </w:r>
      <w:r w:rsidRPr="00F17922">
        <w:t>selected for a</w:t>
      </w:r>
      <w:r>
        <w:t>n on-site or virtual</w:t>
      </w:r>
      <w:r w:rsidRPr="00F17922">
        <w:t xml:space="preserve"> review:</w:t>
      </w:r>
    </w:p>
    <w:p w14:paraId="30028063" w14:textId="25A18FF0" w:rsidR="00FC6327" w:rsidRPr="006A5C2F" w:rsidRDefault="006A5C2F" w:rsidP="0091068A">
      <w:pPr>
        <w:pStyle w:val="NoSpacing"/>
        <w:numPr>
          <w:ilvl w:val="0"/>
          <w:numId w:val="23"/>
        </w:numPr>
        <w:rPr>
          <w:color w:val="538135" w:themeColor="accent6" w:themeShade="BF"/>
          <w:u w:val="single"/>
        </w:rPr>
      </w:pPr>
      <w:r w:rsidRPr="006A5C2F">
        <w:rPr>
          <w:color w:val="538135" w:themeColor="accent6" w:themeShade="BF"/>
          <w:u w:val="single"/>
        </w:rPr>
        <w:t xml:space="preserve">Before the </w:t>
      </w:r>
      <w:r w:rsidR="00FC6327" w:rsidRPr="006A5C2F">
        <w:rPr>
          <w:color w:val="538135" w:themeColor="accent6" w:themeShade="BF"/>
          <w:u w:val="single"/>
        </w:rPr>
        <w:t>On-site or Virtual Visit:</w:t>
      </w:r>
    </w:p>
    <w:p w14:paraId="397F6893" w14:textId="51554B49" w:rsidR="0091068A" w:rsidRDefault="000D142E" w:rsidP="00FE3F33">
      <w:pPr>
        <w:pStyle w:val="NoSpacing"/>
        <w:numPr>
          <w:ilvl w:val="1"/>
          <w:numId w:val="23"/>
        </w:numPr>
      </w:pPr>
      <w:r>
        <w:t xml:space="preserve">The Internal Auditor will </w:t>
      </w:r>
      <w:r w:rsidR="00FC6327">
        <w:t>s</w:t>
      </w:r>
      <w:r w:rsidR="0091068A" w:rsidRPr="00F17922">
        <w:t>end notification to the subrecipient that they will be monitored</w:t>
      </w:r>
      <w:r w:rsidR="0091068A">
        <w:t xml:space="preserve">.  This notification will include the desk review document; deadline for the completed document </w:t>
      </w:r>
      <w:r w:rsidR="00FC6327">
        <w:t xml:space="preserve">and requested evidence </w:t>
      </w:r>
      <w:r w:rsidR="0091068A">
        <w:t>to be returned; and date of the onsite or virtual meeting.</w:t>
      </w:r>
    </w:p>
    <w:p w14:paraId="67DB8FFD" w14:textId="7C2C6CC6" w:rsidR="0091068A" w:rsidRDefault="000D142E" w:rsidP="0091068A">
      <w:pPr>
        <w:pStyle w:val="NoSpacing"/>
        <w:numPr>
          <w:ilvl w:val="1"/>
          <w:numId w:val="23"/>
        </w:numPr>
      </w:pPr>
      <w:r>
        <w:t>The Internal Auditor will r</w:t>
      </w:r>
      <w:r w:rsidR="0091068A">
        <w:t>eview the subrecipient’s prior year application; performance data from two years ago; prior year budget and invoices; and the returned desk review document with any accompanying evidence.</w:t>
      </w:r>
    </w:p>
    <w:p w14:paraId="534230C9" w14:textId="11E58558" w:rsidR="000D142E" w:rsidRDefault="000D142E" w:rsidP="0039138C">
      <w:pPr>
        <w:pStyle w:val="NoSpacing"/>
        <w:numPr>
          <w:ilvl w:val="1"/>
          <w:numId w:val="23"/>
        </w:numPr>
      </w:pPr>
      <w:r>
        <w:t>If needed, the Internal Auditor will request additional information or supporting documentation from the subrecipient via email or phone</w:t>
      </w:r>
    </w:p>
    <w:p w14:paraId="6D2FCCC7" w14:textId="71793DBB" w:rsidR="0091068A" w:rsidRDefault="000D142E" w:rsidP="0091068A">
      <w:pPr>
        <w:pStyle w:val="NoSpacing"/>
        <w:numPr>
          <w:ilvl w:val="1"/>
          <w:numId w:val="23"/>
        </w:numPr>
      </w:pPr>
      <w:r>
        <w:t xml:space="preserve">The Perkins Administration staff will review the subrecipient’s prior year application; performance data from two years ago; prior year budget and invoices; returned desk review document and accompanying evidence; and any additional information gathered by Internal Auditor.  </w:t>
      </w:r>
    </w:p>
    <w:p w14:paraId="18B4CBA2" w14:textId="77777777" w:rsidR="000D142E" w:rsidRDefault="000D142E" w:rsidP="0091068A">
      <w:pPr>
        <w:pStyle w:val="NoSpacing"/>
        <w:numPr>
          <w:ilvl w:val="1"/>
          <w:numId w:val="23"/>
        </w:numPr>
      </w:pPr>
      <w:r>
        <w:t>The Perkins Administration staff and the Internal Auditor should agree on additional CareerTech staff necessary for the on-site or virtual review.</w:t>
      </w:r>
    </w:p>
    <w:p w14:paraId="4AA4BDA4" w14:textId="74EBA3F0" w:rsidR="007626F1" w:rsidRDefault="000D142E" w:rsidP="0091068A">
      <w:pPr>
        <w:pStyle w:val="NoSpacing"/>
        <w:numPr>
          <w:ilvl w:val="1"/>
          <w:numId w:val="23"/>
        </w:numPr>
      </w:pPr>
      <w:r>
        <w:t>If other CareerTech staff are identified to participate in the review, the Internal Auditor will p</w:t>
      </w:r>
      <w:r w:rsidR="0091068A">
        <w:t>rovide</w:t>
      </w:r>
      <w:r>
        <w:t xml:space="preserve"> the necessary</w:t>
      </w:r>
      <w:r w:rsidR="0091068A">
        <w:t xml:space="preserve"> information </w:t>
      </w:r>
      <w:r>
        <w:t>to the additional review team members</w:t>
      </w:r>
      <w:r w:rsidR="007626F1">
        <w:t>.</w:t>
      </w:r>
    </w:p>
    <w:p w14:paraId="7C34A6D1" w14:textId="4CEA2019" w:rsidR="000D142E" w:rsidRDefault="000D142E" w:rsidP="000D142E">
      <w:pPr>
        <w:pStyle w:val="NoSpacing"/>
        <w:numPr>
          <w:ilvl w:val="1"/>
          <w:numId w:val="23"/>
        </w:numPr>
      </w:pPr>
      <w:r>
        <w:t>The Internal Auditor will coordinate wi</w:t>
      </w:r>
      <w:r w:rsidR="006A5C2F">
        <w:t xml:space="preserve">th Perkins Administration staff, and other identified review team members, </w:t>
      </w:r>
      <w:r>
        <w:t>on a date, time and details of the on-site or virtual review.</w:t>
      </w:r>
    </w:p>
    <w:p w14:paraId="5957B26D" w14:textId="77777777" w:rsidR="006A5C2F" w:rsidRDefault="006A5C2F" w:rsidP="006A5C2F">
      <w:pPr>
        <w:pStyle w:val="NoSpacing"/>
        <w:ind w:firstLine="720"/>
      </w:pPr>
    </w:p>
    <w:p w14:paraId="69B03F89" w14:textId="4410ECAE" w:rsidR="006A5C2F" w:rsidRPr="006A5C2F" w:rsidRDefault="006A5C2F" w:rsidP="006A5C2F">
      <w:pPr>
        <w:pStyle w:val="NoSpacing"/>
        <w:numPr>
          <w:ilvl w:val="0"/>
          <w:numId w:val="23"/>
        </w:numPr>
        <w:rPr>
          <w:color w:val="538135" w:themeColor="accent6" w:themeShade="BF"/>
          <w:u w:val="single"/>
        </w:rPr>
      </w:pPr>
      <w:r>
        <w:rPr>
          <w:color w:val="538135" w:themeColor="accent6" w:themeShade="BF"/>
          <w:u w:val="single"/>
        </w:rPr>
        <w:t>During</w:t>
      </w:r>
      <w:r w:rsidRPr="006A5C2F">
        <w:rPr>
          <w:color w:val="538135" w:themeColor="accent6" w:themeShade="BF"/>
          <w:u w:val="single"/>
        </w:rPr>
        <w:t xml:space="preserve"> the On-site or Virtual Visit:</w:t>
      </w:r>
      <w:r>
        <w:rPr>
          <w:color w:val="538135" w:themeColor="accent6" w:themeShade="BF"/>
          <w:u w:val="single"/>
        </w:rPr>
        <w:t xml:space="preserve">   </w:t>
      </w:r>
    </w:p>
    <w:p w14:paraId="57CD3946" w14:textId="62C3D216" w:rsidR="006A5C2F" w:rsidRDefault="006A5C2F" w:rsidP="006A5C2F">
      <w:pPr>
        <w:pStyle w:val="NoSpacing"/>
        <w:numPr>
          <w:ilvl w:val="1"/>
          <w:numId w:val="23"/>
        </w:numPr>
      </w:pPr>
      <w:r>
        <w:t xml:space="preserve">The </w:t>
      </w:r>
      <w:r w:rsidR="0039138C">
        <w:t xml:space="preserve">Internal Auditor will lead the </w:t>
      </w:r>
      <w:r w:rsidR="009F788F">
        <w:t xml:space="preserve">CareerTech monitoring team consisting of the </w:t>
      </w:r>
      <w:r>
        <w:t>Perkins Administration staff, and other identified staff will conduct the on-site or virtual visit to gather further programmatic and/or fiscal information.</w:t>
      </w:r>
    </w:p>
    <w:p w14:paraId="4D90E827" w14:textId="4CB34384" w:rsidR="006A5C2F" w:rsidRDefault="006A5C2F" w:rsidP="006A5C2F">
      <w:pPr>
        <w:pStyle w:val="NoSpacing"/>
        <w:numPr>
          <w:ilvl w:val="1"/>
          <w:numId w:val="23"/>
        </w:numPr>
      </w:pPr>
      <w:r>
        <w:t>The subrecipient</w:t>
      </w:r>
      <w:r w:rsidR="009F788F">
        <w:t xml:space="preserve"> </w:t>
      </w:r>
      <w:r>
        <w:t>should have the following staff available for the review: District Administrator(s) and/or Building Level Administrator(s), Finance Manager, CTE Coordinator and/or CTE Teacher, and others as deemed necessary.</w:t>
      </w:r>
    </w:p>
    <w:p w14:paraId="14320E13" w14:textId="081C7001" w:rsidR="00013B94" w:rsidRDefault="00013B94" w:rsidP="006A5C2F">
      <w:pPr>
        <w:pStyle w:val="NoSpacing"/>
        <w:numPr>
          <w:ilvl w:val="1"/>
          <w:numId w:val="23"/>
        </w:numPr>
      </w:pPr>
      <w:r>
        <w:t>Notes during the on-site or virtual review will be documented on prescribed monitoring form.</w:t>
      </w:r>
    </w:p>
    <w:p w14:paraId="34C47429" w14:textId="6FA91B17" w:rsidR="006A5C2F" w:rsidRDefault="006A5C2F" w:rsidP="006A5C2F">
      <w:pPr>
        <w:pStyle w:val="NoSpacing"/>
      </w:pPr>
    </w:p>
    <w:p w14:paraId="3368DD67" w14:textId="48D17AB4" w:rsidR="006A5C2F" w:rsidRPr="006A5C2F" w:rsidRDefault="006A5C2F" w:rsidP="006A5C2F">
      <w:pPr>
        <w:pStyle w:val="NoSpacing"/>
        <w:numPr>
          <w:ilvl w:val="0"/>
          <w:numId w:val="23"/>
        </w:numPr>
        <w:rPr>
          <w:color w:val="538135" w:themeColor="accent6" w:themeShade="BF"/>
          <w:u w:val="single"/>
        </w:rPr>
      </w:pPr>
      <w:r>
        <w:rPr>
          <w:color w:val="538135" w:themeColor="accent6" w:themeShade="BF"/>
          <w:u w:val="single"/>
        </w:rPr>
        <w:t>After</w:t>
      </w:r>
      <w:r w:rsidRPr="006A5C2F">
        <w:rPr>
          <w:color w:val="538135" w:themeColor="accent6" w:themeShade="BF"/>
          <w:u w:val="single"/>
        </w:rPr>
        <w:t xml:space="preserve"> the On-site or Virtual Visit:</w:t>
      </w:r>
      <w:r>
        <w:rPr>
          <w:color w:val="538135" w:themeColor="accent6" w:themeShade="BF"/>
          <w:u w:val="single"/>
        </w:rPr>
        <w:t xml:space="preserve">   </w:t>
      </w:r>
    </w:p>
    <w:p w14:paraId="216F8043" w14:textId="77777777" w:rsidR="009F788F" w:rsidRDefault="006A5C2F" w:rsidP="0091068A">
      <w:pPr>
        <w:pStyle w:val="NoSpacing"/>
        <w:numPr>
          <w:ilvl w:val="1"/>
          <w:numId w:val="23"/>
        </w:numPr>
      </w:pPr>
      <w:r>
        <w:t xml:space="preserve">The </w:t>
      </w:r>
      <w:r w:rsidR="009F788F">
        <w:t>CareerTech monitoring team should review notes from on-site or virtual visit and come to consensus on next steps identified from the review.</w:t>
      </w:r>
    </w:p>
    <w:p w14:paraId="2224E400" w14:textId="4EC58299" w:rsidR="00013B94" w:rsidRDefault="00013B94" w:rsidP="0091068A">
      <w:pPr>
        <w:pStyle w:val="NoSpacing"/>
        <w:numPr>
          <w:ilvl w:val="1"/>
          <w:numId w:val="23"/>
        </w:numPr>
      </w:pPr>
      <w:r>
        <w:t xml:space="preserve">If need for additional assistance is identified, appropriate staff will provide the necessary training and/or technical assistance to the subrecipient. </w:t>
      </w:r>
    </w:p>
    <w:p w14:paraId="75E2C12B" w14:textId="171988D5" w:rsidR="00013B94" w:rsidRDefault="00013B94" w:rsidP="0091068A">
      <w:pPr>
        <w:pStyle w:val="NoSpacing"/>
        <w:numPr>
          <w:ilvl w:val="1"/>
          <w:numId w:val="23"/>
        </w:numPr>
      </w:pPr>
      <w:r>
        <w:t>The Internal Auditor will submit a letter of monitoring outcome to subrecipient indicating commendations, recommendations, and need for corrective action plan for any findings.</w:t>
      </w:r>
    </w:p>
    <w:p w14:paraId="4B8717EF" w14:textId="0C206EF4" w:rsidR="0091068A" w:rsidRDefault="0091068A" w:rsidP="0091068A">
      <w:pPr>
        <w:pStyle w:val="NoSpacing"/>
        <w:numPr>
          <w:ilvl w:val="2"/>
          <w:numId w:val="23"/>
        </w:numPr>
      </w:pPr>
      <w:r>
        <w:t xml:space="preserve">If findings are noted, additional review will be required including </w:t>
      </w:r>
      <w:r w:rsidR="00013B94">
        <w:t xml:space="preserve">a </w:t>
      </w:r>
      <w:r>
        <w:t>follow-up desk review and/or on-site or virtual visit.</w:t>
      </w:r>
    </w:p>
    <w:p w14:paraId="658C8E67" w14:textId="2BCC6092" w:rsidR="0091068A" w:rsidRDefault="00013B94" w:rsidP="00291F99">
      <w:pPr>
        <w:pStyle w:val="NoSpacing"/>
        <w:numPr>
          <w:ilvl w:val="1"/>
          <w:numId w:val="23"/>
        </w:numPr>
      </w:pPr>
      <w:r>
        <w:lastRenderedPageBreak/>
        <w:t xml:space="preserve">When </w:t>
      </w:r>
      <w:r w:rsidR="0091068A">
        <w:t xml:space="preserve">all findings have been resolved, </w:t>
      </w:r>
      <w:r>
        <w:t>the Internal Auditor will send a letter of final outcome to the s</w:t>
      </w:r>
      <w:r w:rsidR="0091068A">
        <w:t>ubrecipient.</w:t>
      </w:r>
    </w:p>
    <w:p w14:paraId="766E7FFE" w14:textId="2573FFE5" w:rsidR="00EB7DB2" w:rsidRDefault="00EB7DB2" w:rsidP="00013B94">
      <w:pPr>
        <w:pStyle w:val="NoSpacing"/>
        <w:ind w:left="2880"/>
      </w:pPr>
      <w:r>
        <w:t xml:space="preserve">  </w:t>
      </w:r>
    </w:p>
    <w:p w14:paraId="47A5D43E" w14:textId="77777777" w:rsidR="00916B76" w:rsidRDefault="00916B76" w:rsidP="004E0B9C">
      <w:pPr>
        <w:pStyle w:val="NoSpacing"/>
        <w:ind w:left="2520"/>
      </w:pPr>
    </w:p>
    <w:p w14:paraId="180F941F" w14:textId="1AD2B3B1" w:rsidR="00916B76" w:rsidRDefault="00916B76" w:rsidP="00CF22E2">
      <w:pPr>
        <w:rPr>
          <w:rFonts w:eastAsiaTheme="minorEastAsia"/>
          <w:b/>
          <w:color w:val="A50021"/>
          <w:sz w:val="28"/>
          <w:szCs w:val="28"/>
        </w:rPr>
      </w:pPr>
      <w:r>
        <w:rPr>
          <w:rFonts w:eastAsiaTheme="minorEastAsia"/>
          <w:b/>
          <w:color w:val="A50021"/>
          <w:sz w:val="28"/>
          <w:szCs w:val="28"/>
        </w:rPr>
        <w:t>Documentation</w:t>
      </w:r>
    </w:p>
    <w:p w14:paraId="0760D0E4" w14:textId="77777777" w:rsidR="000F0763" w:rsidRDefault="00916B76" w:rsidP="00916B76">
      <w:pPr>
        <w:pStyle w:val="NoSpacing"/>
      </w:pPr>
      <w:r>
        <w:t>A</w:t>
      </w:r>
      <w:r w:rsidR="000F0763">
        <w:t xml:space="preserve"> data repository system will be created and maintained to capture and store all information gathered during the desk reviews; desk review with training and/or technical assistance; and on-site or virtual reviews.  </w:t>
      </w:r>
    </w:p>
    <w:p w14:paraId="6F597BC8" w14:textId="0E0B8642" w:rsidR="00A27782" w:rsidRDefault="00A27782" w:rsidP="00916B76">
      <w:pPr>
        <w:pStyle w:val="NoSpacing"/>
      </w:pPr>
      <w:r>
        <w:t>This data repository should be established in a common location accessible by all monitoring team members such as the J:/drive or SharePoint.</w:t>
      </w:r>
    </w:p>
    <w:p w14:paraId="6B2A4EE4" w14:textId="77777777" w:rsidR="00E649AC" w:rsidRDefault="00E649AC" w:rsidP="00916B76">
      <w:pPr>
        <w:pStyle w:val="NoSpacing"/>
      </w:pPr>
    </w:p>
    <w:p w14:paraId="7F4F3BA8" w14:textId="3E2C7C3B" w:rsidR="00A27782" w:rsidRPr="00E649AC" w:rsidRDefault="00A27782" w:rsidP="00E649AC">
      <w:pPr>
        <w:pStyle w:val="NoSpacing"/>
        <w:ind w:firstLine="720"/>
        <w:rPr>
          <w:sz w:val="24"/>
          <w:szCs w:val="24"/>
        </w:rPr>
      </w:pPr>
      <w:r w:rsidRPr="00E649AC">
        <w:rPr>
          <w:color w:val="0070C0"/>
          <w:sz w:val="24"/>
          <w:szCs w:val="24"/>
        </w:rPr>
        <w:t xml:space="preserve">Following </w:t>
      </w:r>
      <w:r w:rsidR="00E649AC" w:rsidRPr="00E649AC">
        <w:rPr>
          <w:color w:val="0070C0"/>
          <w:sz w:val="24"/>
          <w:szCs w:val="24"/>
        </w:rPr>
        <w:t>is a non-exhaustive list of</w:t>
      </w:r>
      <w:r w:rsidRPr="00E649AC">
        <w:rPr>
          <w:color w:val="0070C0"/>
          <w:sz w:val="24"/>
          <w:szCs w:val="24"/>
        </w:rPr>
        <w:t xml:space="preserve"> items to be saved in the data repository:</w:t>
      </w:r>
    </w:p>
    <w:p w14:paraId="26C71B87" w14:textId="65EC0662" w:rsidR="00E649AC" w:rsidRDefault="00E649AC" w:rsidP="00A27782">
      <w:pPr>
        <w:pStyle w:val="NoSpacing"/>
        <w:numPr>
          <w:ilvl w:val="0"/>
          <w:numId w:val="24"/>
        </w:numPr>
      </w:pPr>
      <w:r>
        <w:t>Completed risk assessments</w:t>
      </w:r>
    </w:p>
    <w:p w14:paraId="2C18D137" w14:textId="77777777" w:rsidR="00E649AC" w:rsidRDefault="00E649AC" w:rsidP="00A27782">
      <w:pPr>
        <w:pStyle w:val="NoSpacing"/>
        <w:numPr>
          <w:ilvl w:val="0"/>
          <w:numId w:val="24"/>
        </w:numPr>
      </w:pPr>
      <w:r>
        <w:t>Notifications to subrecipients of monitoring selection.</w:t>
      </w:r>
    </w:p>
    <w:p w14:paraId="47FA6A5F" w14:textId="77777777" w:rsidR="00E649AC" w:rsidRDefault="00E649AC" w:rsidP="00A27782">
      <w:pPr>
        <w:pStyle w:val="NoSpacing"/>
        <w:numPr>
          <w:ilvl w:val="0"/>
          <w:numId w:val="24"/>
        </w:numPr>
      </w:pPr>
      <w:r>
        <w:t>Summary of findings for each monitored subrecipient</w:t>
      </w:r>
    </w:p>
    <w:p w14:paraId="3C9BD611" w14:textId="5551229E" w:rsidR="00E649AC" w:rsidRDefault="00E649AC" w:rsidP="00A27782">
      <w:pPr>
        <w:pStyle w:val="NoSpacing"/>
        <w:numPr>
          <w:ilvl w:val="0"/>
          <w:numId w:val="24"/>
        </w:numPr>
      </w:pPr>
      <w:r>
        <w:t>Letters of monitoring outcome sent to subrecipients following monitoring</w:t>
      </w:r>
    </w:p>
    <w:p w14:paraId="4EE87667" w14:textId="77777777" w:rsidR="00E649AC" w:rsidRDefault="00E649AC" w:rsidP="00A27782">
      <w:pPr>
        <w:pStyle w:val="NoSpacing"/>
        <w:numPr>
          <w:ilvl w:val="0"/>
          <w:numId w:val="24"/>
        </w:numPr>
      </w:pPr>
      <w:r>
        <w:t>Letters of final outcome sent to subrecipients following monitoring</w:t>
      </w:r>
    </w:p>
    <w:p w14:paraId="50D9B8A4" w14:textId="77777777" w:rsidR="00E649AC" w:rsidRDefault="00E649AC" w:rsidP="00A27782">
      <w:pPr>
        <w:pStyle w:val="NoSpacing"/>
        <w:numPr>
          <w:ilvl w:val="0"/>
          <w:numId w:val="24"/>
        </w:numPr>
      </w:pPr>
      <w:r>
        <w:t>Desk review document that was completed and returned by the monitored subrecipients</w:t>
      </w:r>
    </w:p>
    <w:p w14:paraId="7E31C55C" w14:textId="77777777" w:rsidR="00E649AC" w:rsidRDefault="00E649AC" w:rsidP="00A27782">
      <w:pPr>
        <w:pStyle w:val="NoSpacing"/>
        <w:numPr>
          <w:ilvl w:val="0"/>
          <w:numId w:val="24"/>
        </w:numPr>
      </w:pPr>
      <w:r>
        <w:t>All evidence provided by the monitored subrecipients</w:t>
      </w:r>
    </w:p>
    <w:p w14:paraId="07742ADA" w14:textId="77777777" w:rsidR="00E649AC" w:rsidRDefault="00E649AC" w:rsidP="00A27782">
      <w:pPr>
        <w:pStyle w:val="NoSpacing"/>
        <w:numPr>
          <w:ilvl w:val="0"/>
          <w:numId w:val="24"/>
        </w:numPr>
      </w:pPr>
      <w:r>
        <w:t>All additional</w:t>
      </w:r>
      <w:r w:rsidR="00916B76">
        <w:t xml:space="preserve"> documentation </w:t>
      </w:r>
      <w:r>
        <w:t>as provided by monitored subrecipients</w:t>
      </w:r>
    </w:p>
    <w:p w14:paraId="2044608C" w14:textId="5453A317" w:rsidR="00916B76" w:rsidRDefault="00E649AC" w:rsidP="00A27782">
      <w:pPr>
        <w:pStyle w:val="NoSpacing"/>
        <w:numPr>
          <w:ilvl w:val="0"/>
          <w:numId w:val="24"/>
        </w:numPr>
      </w:pPr>
      <w:r>
        <w:t>Other documents as applicable to the monitoring of Perkins subrecipients</w:t>
      </w:r>
    </w:p>
    <w:p w14:paraId="27A48658" w14:textId="77777777" w:rsidR="00E649AC" w:rsidRDefault="00E649AC" w:rsidP="00E649AC">
      <w:pPr>
        <w:pStyle w:val="NoSpacing"/>
        <w:ind w:left="720"/>
      </w:pPr>
    </w:p>
    <w:p w14:paraId="55895EDF" w14:textId="77777777" w:rsidR="00916B76" w:rsidRDefault="00916B76" w:rsidP="00CF22E2">
      <w:pPr>
        <w:rPr>
          <w:rFonts w:eastAsiaTheme="minorEastAsia"/>
          <w:b/>
          <w:color w:val="A50021"/>
          <w:sz w:val="28"/>
          <w:szCs w:val="28"/>
        </w:rPr>
      </w:pPr>
    </w:p>
    <w:sectPr w:rsidR="00916B76" w:rsidSect="00CF4B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EF7B" w14:textId="77777777" w:rsidR="00F3449D" w:rsidRDefault="00F3449D" w:rsidP="00F3449D">
      <w:pPr>
        <w:spacing w:after="0" w:line="240" w:lineRule="auto"/>
      </w:pPr>
      <w:r>
        <w:separator/>
      </w:r>
    </w:p>
  </w:endnote>
  <w:endnote w:type="continuationSeparator" w:id="0">
    <w:p w14:paraId="618D7D5D" w14:textId="77777777" w:rsidR="00F3449D" w:rsidRDefault="00F3449D" w:rsidP="00F3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47B3C" w14:textId="77777777" w:rsidR="00F3449D" w:rsidRDefault="00F34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2C48A" w14:textId="77777777" w:rsidR="00F3449D" w:rsidRDefault="00F344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56EE" w14:textId="77777777" w:rsidR="00F3449D" w:rsidRDefault="00F34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77DE1" w14:textId="77777777" w:rsidR="00F3449D" w:rsidRDefault="00F3449D" w:rsidP="00F3449D">
      <w:pPr>
        <w:spacing w:after="0" w:line="240" w:lineRule="auto"/>
      </w:pPr>
      <w:r>
        <w:separator/>
      </w:r>
    </w:p>
  </w:footnote>
  <w:footnote w:type="continuationSeparator" w:id="0">
    <w:p w14:paraId="5513EE97" w14:textId="77777777" w:rsidR="00F3449D" w:rsidRDefault="00F3449D" w:rsidP="00F3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69789" w14:textId="77777777" w:rsidR="00F3449D" w:rsidRDefault="00F34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7882C" w14:textId="792BC44F" w:rsidR="00F3449D" w:rsidRDefault="00F34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FF8D" w14:textId="77777777" w:rsidR="00F3449D" w:rsidRDefault="00F34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A0D"/>
    <w:multiLevelType w:val="hybridMultilevel"/>
    <w:tmpl w:val="9800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061"/>
    <w:multiLevelType w:val="hybridMultilevel"/>
    <w:tmpl w:val="DE92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244F"/>
    <w:multiLevelType w:val="hybridMultilevel"/>
    <w:tmpl w:val="429A8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2B2C"/>
    <w:multiLevelType w:val="hybridMultilevel"/>
    <w:tmpl w:val="8D547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019B9"/>
    <w:multiLevelType w:val="hybridMultilevel"/>
    <w:tmpl w:val="2D4AD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44533"/>
    <w:multiLevelType w:val="hybridMultilevel"/>
    <w:tmpl w:val="DDB28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3B13"/>
    <w:multiLevelType w:val="hybridMultilevel"/>
    <w:tmpl w:val="35CE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5811"/>
    <w:multiLevelType w:val="hybridMultilevel"/>
    <w:tmpl w:val="82C4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723AF"/>
    <w:multiLevelType w:val="hybridMultilevel"/>
    <w:tmpl w:val="5220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05FD1"/>
    <w:multiLevelType w:val="hybridMultilevel"/>
    <w:tmpl w:val="A01E4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C4F7C"/>
    <w:multiLevelType w:val="hybridMultilevel"/>
    <w:tmpl w:val="3AC6451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1" w15:restartNumberingAfterBreak="0">
    <w:nsid w:val="3DE24263"/>
    <w:multiLevelType w:val="hybridMultilevel"/>
    <w:tmpl w:val="11A4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002E"/>
    <w:multiLevelType w:val="hybridMultilevel"/>
    <w:tmpl w:val="3888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6379"/>
    <w:multiLevelType w:val="hybridMultilevel"/>
    <w:tmpl w:val="613801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303866"/>
    <w:multiLevelType w:val="hybridMultilevel"/>
    <w:tmpl w:val="DE5E4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E68BB"/>
    <w:multiLevelType w:val="hybridMultilevel"/>
    <w:tmpl w:val="24F0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8721E"/>
    <w:multiLevelType w:val="hybridMultilevel"/>
    <w:tmpl w:val="94F02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F91AFB"/>
    <w:multiLevelType w:val="hybridMultilevel"/>
    <w:tmpl w:val="D298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32D88"/>
    <w:multiLevelType w:val="hybridMultilevel"/>
    <w:tmpl w:val="0242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B3EA1"/>
    <w:multiLevelType w:val="hybridMultilevel"/>
    <w:tmpl w:val="D772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20899"/>
    <w:multiLevelType w:val="hybridMultilevel"/>
    <w:tmpl w:val="D9181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A02AD"/>
    <w:multiLevelType w:val="hybridMultilevel"/>
    <w:tmpl w:val="A31C0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467FE1"/>
    <w:multiLevelType w:val="hybridMultilevel"/>
    <w:tmpl w:val="7C9C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22060"/>
    <w:multiLevelType w:val="hybridMultilevel"/>
    <w:tmpl w:val="5B5E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15"/>
  </w:num>
  <w:num w:numId="5">
    <w:abstractNumId w:val="5"/>
  </w:num>
  <w:num w:numId="6">
    <w:abstractNumId w:val="23"/>
  </w:num>
  <w:num w:numId="7">
    <w:abstractNumId w:val="1"/>
  </w:num>
  <w:num w:numId="8">
    <w:abstractNumId w:val="14"/>
  </w:num>
  <w:num w:numId="9">
    <w:abstractNumId w:val="17"/>
  </w:num>
  <w:num w:numId="10">
    <w:abstractNumId w:val="19"/>
  </w:num>
  <w:num w:numId="11">
    <w:abstractNumId w:val="22"/>
  </w:num>
  <w:num w:numId="12">
    <w:abstractNumId w:val="9"/>
  </w:num>
  <w:num w:numId="13">
    <w:abstractNumId w:val="11"/>
  </w:num>
  <w:num w:numId="14">
    <w:abstractNumId w:val="7"/>
  </w:num>
  <w:num w:numId="15">
    <w:abstractNumId w:val="21"/>
  </w:num>
  <w:num w:numId="16">
    <w:abstractNumId w:val="12"/>
  </w:num>
  <w:num w:numId="17">
    <w:abstractNumId w:val="0"/>
  </w:num>
  <w:num w:numId="18">
    <w:abstractNumId w:val="16"/>
  </w:num>
  <w:num w:numId="19">
    <w:abstractNumId w:val="10"/>
  </w:num>
  <w:num w:numId="20">
    <w:abstractNumId w:val="3"/>
  </w:num>
  <w:num w:numId="21">
    <w:abstractNumId w:val="2"/>
  </w:num>
  <w:num w:numId="22">
    <w:abstractNumId w:val="13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05"/>
    <w:rsid w:val="000061AE"/>
    <w:rsid w:val="00013B94"/>
    <w:rsid w:val="00015BE1"/>
    <w:rsid w:val="00027A6C"/>
    <w:rsid w:val="00031D09"/>
    <w:rsid w:val="00044BE2"/>
    <w:rsid w:val="000B2D8D"/>
    <w:rsid w:val="000B50A4"/>
    <w:rsid w:val="000B5F79"/>
    <w:rsid w:val="000C1DC1"/>
    <w:rsid w:val="000C2E26"/>
    <w:rsid w:val="000D142E"/>
    <w:rsid w:val="000D7D30"/>
    <w:rsid w:val="000E2E19"/>
    <w:rsid w:val="000F0763"/>
    <w:rsid w:val="00153DAE"/>
    <w:rsid w:val="00157642"/>
    <w:rsid w:val="00185B1E"/>
    <w:rsid w:val="001979AC"/>
    <w:rsid w:val="001B2672"/>
    <w:rsid w:val="001C1FC3"/>
    <w:rsid w:val="001C664A"/>
    <w:rsid w:val="001C7A25"/>
    <w:rsid w:val="001F7552"/>
    <w:rsid w:val="00203B94"/>
    <w:rsid w:val="00206285"/>
    <w:rsid w:val="00233346"/>
    <w:rsid w:val="00243E7F"/>
    <w:rsid w:val="0024638A"/>
    <w:rsid w:val="00270546"/>
    <w:rsid w:val="002945A1"/>
    <w:rsid w:val="002A34A4"/>
    <w:rsid w:val="002C4DAB"/>
    <w:rsid w:val="002C757C"/>
    <w:rsid w:val="002D2F19"/>
    <w:rsid w:val="002E134E"/>
    <w:rsid w:val="002E5E8C"/>
    <w:rsid w:val="002F4386"/>
    <w:rsid w:val="002F6B81"/>
    <w:rsid w:val="00306805"/>
    <w:rsid w:val="003143DF"/>
    <w:rsid w:val="003219A3"/>
    <w:rsid w:val="00353E57"/>
    <w:rsid w:val="003565EF"/>
    <w:rsid w:val="0036173A"/>
    <w:rsid w:val="0039138C"/>
    <w:rsid w:val="00397744"/>
    <w:rsid w:val="003A40D1"/>
    <w:rsid w:val="003B15BA"/>
    <w:rsid w:val="003B547A"/>
    <w:rsid w:val="003E6A00"/>
    <w:rsid w:val="00431AD1"/>
    <w:rsid w:val="00446B1B"/>
    <w:rsid w:val="00463A22"/>
    <w:rsid w:val="00467F3F"/>
    <w:rsid w:val="00471557"/>
    <w:rsid w:val="004A661E"/>
    <w:rsid w:val="004E0B9C"/>
    <w:rsid w:val="004E65C0"/>
    <w:rsid w:val="004F2733"/>
    <w:rsid w:val="00512942"/>
    <w:rsid w:val="00530B96"/>
    <w:rsid w:val="00543D69"/>
    <w:rsid w:val="00562A38"/>
    <w:rsid w:val="00590AA8"/>
    <w:rsid w:val="005A012D"/>
    <w:rsid w:val="005B1EB4"/>
    <w:rsid w:val="005B486D"/>
    <w:rsid w:val="005B7879"/>
    <w:rsid w:val="005C19C6"/>
    <w:rsid w:val="005E457E"/>
    <w:rsid w:val="005F0323"/>
    <w:rsid w:val="00615265"/>
    <w:rsid w:val="00645119"/>
    <w:rsid w:val="00662142"/>
    <w:rsid w:val="00674329"/>
    <w:rsid w:val="006838C4"/>
    <w:rsid w:val="00687484"/>
    <w:rsid w:val="00694CC8"/>
    <w:rsid w:val="006A1156"/>
    <w:rsid w:val="006A5C2F"/>
    <w:rsid w:val="006C5D9A"/>
    <w:rsid w:val="006E1958"/>
    <w:rsid w:val="00705FB2"/>
    <w:rsid w:val="007357BD"/>
    <w:rsid w:val="00756AF2"/>
    <w:rsid w:val="007626F1"/>
    <w:rsid w:val="0078574C"/>
    <w:rsid w:val="00794B12"/>
    <w:rsid w:val="007A731F"/>
    <w:rsid w:val="007C0E7F"/>
    <w:rsid w:val="007C52DE"/>
    <w:rsid w:val="007D2CBD"/>
    <w:rsid w:val="00803A11"/>
    <w:rsid w:val="00805638"/>
    <w:rsid w:val="008505A3"/>
    <w:rsid w:val="008908A2"/>
    <w:rsid w:val="008A1C60"/>
    <w:rsid w:val="008A4396"/>
    <w:rsid w:val="008C23B7"/>
    <w:rsid w:val="00902AE5"/>
    <w:rsid w:val="0090357A"/>
    <w:rsid w:val="0091068A"/>
    <w:rsid w:val="00916B76"/>
    <w:rsid w:val="0091731F"/>
    <w:rsid w:val="00924DE0"/>
    <w:rsid w:val="00933DCA"/>
    <w:rsid w:val="00970F10"/>
    <w:rsid w:val="009A1914"/>
    <w:rsid w:val="009A1C8E"/>
    <w:rsid w:val="009D505B"/>
    <w:rsid w:val="009F788F"/>
    <w:rsid w:val="00A27782"/>
    <w:rsid w:val="00A54FFD"/>
    <w:rsid w:val="00A572CD"/>
    <w:rsid w:val="00A847B7"/>
    <w:rsid w:val="00A8646F"/>
    <w:rsid w:val="00AA3AA2"/>
    <w:rsid w:val="00AB0B0C"/>
    <w:rsid w:val="00AC49EC"/>
    <w:rsid w:val="00AD11FE"/>
    <w:rsid w:val="00AF6243"/>
    <w:rsid w:val="00B00448"/>
    <w:rsid w:val="00B00EC0"/>
    <w:rsid w:val="00B0346C"/>
    <w:rsid w:val="00B15FA3"/>
    <w:rsid w:val="00B4552C"/>
    <w:rsid w:val="00B76606"/>
    <w:rsid w:val="00BA5EBA"/>
    <w:rsid w:val="00BD47E9"/>
    <w:rsid w:val="00BD59E6"/>
    <w:rsid w:val="00BE2BC4"/>
    <w:rsid w:val="00BF3851"/>
    <w:rsid w:val="00C16D69"/>
    <w:rsid w:val="00C1795C"/>
    <w:rsid w:val="00C203CE"/>
    <w:rsid w:val="00C208A5"/>
    <w:rsid w:val="00C32E1D"/>
    <w:rsid w:val="00C367BB"/>
    <w:rsid w:val="00C430B8"/>
    <w:rsid w:val="00C54A3F"/>
    <w:rsid w:val="00C60D4A"/>
    <w:rsid w:val="00C81779"/>
    <w:rsid w:val="00C86BAF"/>
    <w:rsid w:val="00C94C7C"/>
    <w:rsid w:val="00CA5D93"/>
    <w:rsid w:val="00CC05F3"/>
    <w:rsid w:val="00CD7EC2"/>
    <w:rsid w:val="00CE5F39"/>
    <w:rsid w:val="00CE7F4E"/>
    <w:rsid w:val="00CF22E2"/>
    <w:rsid w:val="00CF4B72"/>
    <w:rsid w:val="00D12D00"/>
    <w:rsid w:val="00D177C4"/>
    <w:rsid w:val="00D51142"/>
    <w:rsid w:val="00D95A3D"/>
    <w:rsid w:val="00DB336D"/>
    <w:rsid w:val="00DF3B5E"/>
    <w:rsid w:val="00E321C2"/>
    <w:rsid w:val="00E405BB"/>
    <w:rsid w:val="00E56E1C"/>
    <w:rsid w:val="00E649AC"/>
    <w:rsid w:val="00E77639"/>
    <w:rsid w:val="00E92E0A"/>
    <w:rsid w:val="00EA29EA"/>
    <w:rsid w:val="00EB7DB2"/>
    <w:rsid w:val="00EC1544"/>
    <w:rsid w:val="00ED1590"/>
    <w:rsid w:val="00ED20B6"/>
    <w:rsid w:val="00F10BAD"/>
    <w:rsid w:val="00F17922"/>
    <w:rsid w:val="00F30E8D"/>
    <w:rsid w:val="00F31D78"/>
    <w:rsid w:val="00F3357A"/>
    <w:rsid w:val="00F3449D"/>
    <w:rsid w:val="00F54763"/>
    <w:rsid w:val="00F555CE"/>
    <w:rsid w:val="00F55C75"/>
    <w:rsid w:val="00F62B7A"/>
    <w:rsid w:val="00F929E4"/>
    <w:rsid w:val="00F930DB"/>
    <w:rsid w:val="00FB3C6B"/>
    <w:rsid w:val="00FC6327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3C2D51"/>
  <w15:chartTrackingRefBased/>
  <w15:docId w15:val="{2AE2383D-9E93-41B1-9C54-C9B0AAAD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80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06805"/>
    <w:rPr>
      <w:rFonts w:asciiTheme="majorHAnsi" w:eastAsiaTheme="majorEastAsia" w:hAnsiTheme="majorHAnsi" w:cstheme="majorBidi"/>
      <w:sz w:val="36"/>
      <w:szCs w:val="36"/>
    </w:rPr>
  </w:style>
  <w:style w:type="paragraph" w:styleId="ListParagraph">
    <w:name w:val="List Paragraph"/>
    <w:basedOn w:val="Normal"/>
    <w:uiPriority w:val="34"/>
    <w:qFormat/>
    <w:rsid w:val="0036173A"/>
    <w:pPr>
      <w:spacing w:line="312" w:lineRule="auto"/>
      <w:ind w:left="720"/>
      <w:contextualSpacing/>
    </w:pPr>
    <w:rPr>
      <w:rFonts w:eastAsiaTheme="minorEastAsia"/>
      <w:sz w:val="21"/>
      <w:szCs w:val="21"/>
    </w:rPr>
  </w:style>
  <w:style w:type="table" w:styleId="ListTable3-Accent5">
    <w:name w:val="List Table 3 Accent 5"/>
    <w:basedOn w:val="TableNormal"/>
    <w:uiPriority w:val="48"/>
    <w:rsid w:val="00FB3C6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B7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7155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155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24638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E19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9D"/>
  </w:style>
  <w:style w:type="paragraph" w:styleId="Footer">
    <w:name w:val="footer"/>
    <w:basedOn w:val="Normal"/>
    <w:link w:val="FooterChar"/>
    <w:uiPriority w:val="99"/>
    <w:unhideWhenUsed/>
    <w:rsid w:val="00F3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9D"/>
  </w:style>
  <w:style w:type="paragraph" w:styleId="FootnoteText">
    <w:name w:val="footnote text"/>
    <w:basedOn w:val="Normal"/>
    <w:link w:val="FootnoteTextChar"/>
    <w:uiPriority w:val="99"/>
    <w:semiHidden/>
    <w:unhideWhenUsed/>
    <w:rsid w:val="005B78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8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9B53B3DBC0E42BB084EAD845FD746" ma:contentTypeVersion="4" ma:contentTypeDescription="Create a new document." ma:contentTypeScope="" ma:versionID="388e3e7d9ae458f1e6f94ee289f7c650">
  <xsd:schema xmlns:xsd="http://www.w3.org/2001/XMLSchema" xmlns:xs="http://www.w3.org/2001/XMLSchema" xmlns:p="http://schemas.microsoft.com/office/2006/metadata/properties" xmlns:ns2="6a36c8ef-8d2d-435b-aee1-e7e8dc8524ff" xmlns:ns3="ab252108-1312-4126-8895-69de05005ca8" targetNamespace="http://schemas.microsoft.com/office/2006/metadata/properties" ma:root="true" ma:fieldsID="ccde87d795cb86edb9ca6ac6df2ae79a" ns2:_="" ns3:_="">
    <xsd:import namespace="6a36c8ef-8d2d-435b-aee1-e7e8dc8524ff"/>
    <xsd:import namespace="ab252108-1312-4126-8895-69de05005c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8ef-8d2d-435b-aee1-e7e8dc8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52108-1312-4126-8895-69de05005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0B7E-8C00-4A88-86C4-A6C2E112A06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b252108-1312-4126-8895-69de05005ca8"/>
    <ds:schemaRef ds:uri="6a36c8ef-8d2d-435b-aee1-e7e8dc8524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F09D20-61A2-4927-BA39-8EA83CBFA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c8ef-8d2d-435b-aee1-e7e8dc8524ff"/>
    <ds:schemaRef ds:uri="ab252108-1312-4126-8895-69de05005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276BD-78CB-44E6-B719-4959219AD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69616-370B-440E-96B9-2F1B9831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Rushmore</dc:creator>
  <cp:keywords/>
  <dc:description/>
  <cp:lastModifiedBy>Lisa Batchelder</cp:lastModifiedBy>
  <cp:revision>2</cp:revision>
  <cp:lastPrinted>2021-02-02T20:41:00Z</cp:lastPrinted>
  <dcterms:created xsi:type="dcterms:W3CDTF">2021-06-10T20:40:00Z</dcterms:created>
  <dcterms:modified xsi:type="dcterms:W3CDTF">2021-06-10T20:40:00Z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0x0101005A59B53B3DBC0E42BB084EAD845FD746</vt:lpwstr>
  </property>
</Properties>
</file>