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DD732" w14:textId="1F516C10" w:rsidR="006E1958" w:rsidRPr="006E1958" w:rsidRDefault="006E1958" w:rsidP="006E1958">
      <w:pPr>
        <w:pStyle w:val="NoSpacing"/>
      </w:pPr>
      <w:bookmarkStart w:id="0" w:name="_GoBack"/>
      <w:bookmarkEnd w:id="0"/>
      <w:r>
        <w:rPr>
          <w:noProof/>
        </w:rPr>
        <w:drawing>
          <wp:inline distT="0" distB="0" distL="0" distR="0" wp14:anchorId="55B937CE" wp14:editId="1A2867D3">
            <wp:extent cx="1495439" cy="672998"/>
            <wp:effectExtent l="0" t="0" r="0" b="0"/>
            <wp:docPr id="1" name="Picture 1" descr="Oklahoma CareerTech -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lahoma CareerTech - whit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549" cy="688799"/>
                    </a:xfrm>
                    <a:prstGeom prst="rect">
                      <a:avLst/>
                    </a:prstGeom>
                    <a:noFill/>
                    <a:ln>
                      <a:noFill/>
                    </a:ln>
                  </pic:spPr>
                </pic:pic>
              </a:graphicData>
            </a:graphic>
          </wp:inline>
        </w:drawing>
      </w:r>
    </w:p>
    <w:p w14:paraId="74B76C45" w14:textId="77777777" w:rsidR="006E1958" w:rsidRPr="006E1958" w:rsidRDefault="006E1958" w:rsidP="00471557">
      <w:pPr>
        <w:pStyle w:val="Title"/>
        <w:rPr>
          <w:b/>
          <w:sz w:val="28"/>
          <w:szCs w:val="28"/>
        </w:rPr>
      </w:pPr>
    </w:p>
    <w:p w14:paraId="6EF803BA" w14:textId="096BCDC6" w:rsidR="00471557" w:rsidRPr="00F55C75" w:rsidRDefault="00471557" w:rsidP="00471557">
      <w:pPr>
        <w:pStyle w:val="Title"/>
        <w:rPr>
          <w:b/>
          <w:sz w:val="36"/>
          <w:szCs w:val="36"/>
        </w:rPr>
      </w:pPr>
      <w:r w:rsidRPr="00F55C75">
        <w:rPr>
          <w:b/>
          <w:sz w:val="36"/>
          <w:szCs w:val="36"/>
        </w:rPr>
        <w:t xml:space="preserve">Carl Perkins </w:t>
      </w:r>
      <w:r w:rsidR="006E1958">
        <w:rPr>
          <w:b/>
          <w:sz w:val="36"/>
          <w:szCs w:val="36"/>
        </w:rPr>
        <w:t>Sub</w:t>
      </w:r>
      <w:r w:rsidR="004E0B9C">
        <w:rPr>
          <w:b/>
          <w:sz w:val="36"/>
          <w:szCs w:val="36"/>
        </w:rPr>
        <w:t>recipient</w:t>
      </w:r>
      <w:r w:rsidR="006E1958">
        <w:rPr>
          <w:b/>
          <w:sz w:val="36"/>
          <w:szCs w:val="36"/>
        </w:rPr>
        <w:t xml:space="preserve"> </w:t>
      </w:r>
      <w:r w:rsidRPr="00F55C75">
        <w:rPr>
          <w:b/>
          <w:sz w:val="36"/>
          <w:szCs w:val="36"/>
        </w:rPr>
        <w:t>Monitoring P</w:t>
      </w:r>
      <w:r w:rsidR="006E1958">
        <w:rPr>
          <w:b/>
          <w:sz w:val="36"/>
          <w:szCs w:val="36"/>
        </w:rPr>
        <w:t>olicy</w:t>
      </w:r>
      <w:r w:rsidRPr="00F55C75">
        <w:rPr>
          <w:b/>
          <w:sz w:val="36"/>
          <w:szCs w:val="36"/>
        </w:rPr>
        <w:t xml:space="preserve"> </w:t>
      </w:r>
    </w:p>
    <w:p w14:paraId="51296EE2" w14:textId="5D9CA031" w:rsidR="00471557" w:rsidRPr="00F55C75" w:rsidRDefault="00306805">
      <w:pPr>
        <w:rPr>
          <w:rFonts w:eastAsiaTheme="minorEastAsia"/>
          <w:b/>
          <w:color w:val="A50021"/>
          <w:sz w:val="28"/>
          <w:szCs w:val="28"/>
        </w:rPr>
      </w:pPr>
      <w:r w:rsidRPr="00F55C75">
        <w:rPr>
          <w:rFonts w:eastAsiaTheme="minorEastAsia"/>
          <w:b/>
          <w:color w:val="A50021"/>
          <w:sz w:val="28"/>
          <w:szCs w:val="28"/>
        </w:rPr>
        <w:t>Purpose</w:t>
      </w:r>
    </w:p>
    <w:p w14:paraId="7063959C" w14:textId="4CE2E404" w:rsidR="007D2CBD" w:rsidRDefault="006E1958" w:rsidP="007D2CBD">
      <w:pPr>
        <w:pStyle w:val="NoSpacing"/>
      </w:pPr>
      <w:r>
        <w:t xml:space="preserve">The purpose of this subrecipient monitoring policy is to comply with the Office of Management and Budget (OMB) Uniform Guidance regarding the monitoring and stewardship obligations as the primary award recipient. </w:t>
      </w:r>
    </w:p>
    <w:p w14:paraId="22883AE1" w14:textId="77777777" w:rsidR="007D2CBD" w:rsidRDefault="007D2CBD" w:rsidP="007D2CBD">
      <w:pPr>
        <w:pStyle w:val="NoSpacing"/>
      </w:pPr>
    </w:p>
    <w:p w14:paraId="36793BF3" w14:textId="77777777" w:rsidR="007D2CBD" w:rsidRPr="007D2CBD" w:rsidRDefault="007D2CBD" w:rsidP="007D2CBD">
      <w:pPr>
        <w:rPr>
          <w:b/>
          <w:color w:val="C00000"/>
          <w:sz w:val="28"/>
          <w:szCs w:val="28"/>
        </w:rPr>
      </w:pPr>
      <w:r w:rsidRPr="00C430B8">
        <w:rPr>
          <w:b/>
          <w:color w:val="C00000"/>
          <w:sz w:val="28"/>
          <w:szCs w:val="28"/>
        </w:rPr>
        <w:t>Policy Statement</w:t>
      </w:r>
    </w:p>
    <w:p w14:paraId="0628A5BF" w14:textId="450593A6" w:rsidR="007D2CBD" w:rsidRDefault="007D2CBD" w:rsidP="007D2CBD">
      <w:pPr>
        <w:pStyle w:val="NoSpacing"/>
      </w:pPr>
      <w:r>
        <w:t xml:space="preserve">It is the policy of the Oklahoma Department of CareerTech </w:t>
      </w:r>
      <w:r w:rsidR="009A2B1D">
        <w:t xml:space="preserve">(CareerTech) </w:t>
      </w:r>
      <w:r>
        <w:t xml:space="preserve">to monitor the activities of subrecipients to ensure that the activities of the </w:t>
      </w:r>
      <w:proofErr w:type="spellStart"/>
      <w:r>
        <w:t>subaward</w:t>
      </w:r>
      <w:proofErr w:type="spellEnd"/>
      <w:r>
        <w:t xml:space="preserve"> project objectives are necessary and that performance goals are achieved and that all funds are used for authorized purposes in compliance with Federal statutes, regulations, and the terms and conditions of the grant agreement.  (See </w:t>
      </w:r>
      <w:r>
        <w:rPr>
          <w:rFonts w:cstheme="minorHAnsi"/>
        </w:rPr>
        <w:t>§</w:t>
      </w:r>
      <w:r>
        <w:t>200.332 (d))</w:t>
      </w:r>
    </w:p>
    <w:p w14:paraId="1AE0C31B" w14:textId="77777777" w:rsidR="007D2CBD" w:rsidRDefault="007D2CBD" w:rsidP="007D2CBD">
      <w:pPr>
        <w:pStyle w:val="NoSpacing"/>
      </w:pPr>
    </w:p>
    <w:p w14:paraId="6165E088" w14:textId="3EA3C201" w:rsidR="00C430B8" w:rsidRPr="00C430B8" w:rsidRDefault="00C430B8" w:rsidP="00957934">
      <w:pPr>
        <w:pStyle w:val="NoSpacing"/>
        <w:rPr>
          <w:rFonts w:eastAsiaTheme="minorEastAsia"/>
          <w:b/>
          <w:color w:val="C00000"/>
          <w:sz w:val="28"/>
          <w:szCs w:val="28"/>
        </w:rPr>
      </w:pPr>
      <w:r w:rsidRPr="00C430B8">
        <w:rPr>
          <w:rFonts w:eastAsiaTheme="minorEastAsia"/>
          <w:b/>
          <w:color w:val="C00000"/>
          <w:sz w:val="28"/>
          <w:szCs w:val="28"/>
        </w:rPr>
        <w:t>Types of Monitoring</w:t>
      </w:r>
      <w:r>
        <w:rPr>
          <w:rFonts w:eastAsiaTheme="minorEastAsia"/>
          <w:b/>
          <w:color w:val="C00000"/>
          <w:sz w:val="28"/>
          <w:szCs w:val="28"/>
        </w:rPr>
        <w:t xml:space="preserve"> </w:t>
      </w:r>
    </w:p>
    <w:p w14:paraId="2E0E4069" w14:textId="77777777" w:rsidR="004E56E5" w:rsidRDefault="004E56E5" w:rsidP="00C430B8">
      <w:pPr>
        <w:pStyle w:val="NoSpacing"/>
      </w:pPr>
    </w:p>
    <w:p w14:paraId="2268FB30" w14:textId="2B566FDD" w:rsidR="00C430B8" w:rsidRDefault="00C430B8" w:rsidP="00C430B8">
      <w:pPr>
        <w:pStyle w:val="NoSpacing"/>
      </w:pPr>
      <w:r>
        <w:t>CareerTech will use a risk based approach to determine the subrecipients to be monitored each fiscal year.  A comprehensive risk assessment will be</w:t>
      </w:r>
      <w:r w:rsidR="00710A05">
        <w:t xml:space="preserve"> conducted</w:t>
      </w:r>
      <w:r>
        <w:t xml:space="preserve"> </w:t>
      </w:r>
      <w:r w:rsidR="00710A05">
        <w:t xml:space="preserve">involving all potential subrecipients </w:t>
      </w:r>
      <w:r>
        <w:t xml:space="preserve">before each year’s award decision.   Depending on the level of risk posed by the subrecipient, the following monitoring tools </w:t>
      </w:r>
      <w:r w:rsidR="009D505B">
        <w:t>will</w:t>
      </w:r>
      <w:r>
        <w:t xml:space="preserve"> be used by CareerTech to ensure proper accountability and compliance:</w:t>
      </w:r>
    </w:p>
    <w:p w14:paraId="26055225" w14:textId="77777777" w:rsidR="00D12D00" w:rsidRDefault="00D12D00" w:rsidP="00C430B8">
      <w:pPr>
        <w:pStyle w:val="NoSpacing"/>
      </w:pPr>
    </w:p>
    <w:p w14:paraId="32DF759A" w14:textId="25133AD1" w:rsidR="00C430B8" w:rsidRDefault="00C430B8" w:rsidP="00C430B8">
      <w:pPr>
        <w:pStyle w:val="NoSpacing"/>
        <w:numPr>
          <w:ilvl w:val="0"/>
          <w:numId w:val="16"/>
        </w:numPr>
      </w:pPr>
      <w:r w:rsidRPr="00CF22E2">
        <w:rPr>
          <w:u w:val="single"/>
        </w:rPr>
        <w:t xml:space="preserve">Desk </w:t>
      </w:r>
      <w:r w:rsidR="00D12D00" w:rsidRPr="00CF22E2">
        <w:rPr>
          <w:u w:val="single"/>
        </w:rPr>
        <w:t>Reviews</w:t>
      </w:r>
      <w:r w:rsidR="00D12D00">
        <w:t xml:space="preserve"> - Review</w:t>
      </w:r>
      <w:r>
        <w:t xml:space="preserve"> of</w:t>
      </w:r>
      <w:r w:rsidR="00D12D00">
        <w:t xml:space="preserve"> the programmatic and financial activity of the </w:t>
      </w:r>
      <w:r>
        <w:t>subrecipient</w:t>
      </w:r>
      <w:r w:rsidR="00D12D00">
        <w:t>.  These reviews are the least invasive and will consist of lower risk subrecipients.</w:t>
      </w:r>
    </w:p>
    <w:p w14:paraId="011E8D37" w14:textId="527F3EEE" w:rsidR="00D12D00" w:rsidRDefault="00D12D00" w:rsidP="00C430B8">
      <w:pPr>
        <w:pStyle w:val="NoSpacing"/>
        <w:numPr>
          <w:ilvl w:val="0"/>
          <w:numId w:val="16"/>
        </w:numPr>
      </w:pPr>
      <w:r w:rsidRPr="00B4552C">
        <w:rPr>
          <w:u w:val="single"/>
        </w:rPr>
        <w:t>Desk Reviews with training and technical assistance</w:t>
      </w:r>
      <w:r>
        <w:t xml:space="preserve"> - These reviews result from desk audits </w:t>
      </w:r>
      <w:r w:rsidR="00185B1E">
        <w:t xml:space="preserve">for </w:t>
      </w:r>
      <w:r>
        <w:t xml:space="preserve">which </w:t>
      </w:r>
      <w:r w:rsidR="00185B1E">
        <w:t>it is determined need</w:t>
      </w:r>
      <w:r>
        <w:t xml:space="preserve"> additional training and technical assistance in programmatic and/or financial matters.</w:t>
      </w:r>
    </w:p>
    <w:p w14:paraId="42A8C14B" w14:textId="13B27D67" w:rsidR="00D12D00" w:rsidRDefault="00D12D00" w:rsidP="00C430B8">
      <w:pPr>
        <w:pStyle w:val="NoSpacing"/>
        <w:numPr>
          <w:ilvl w:val="0"/>
          <w:numId w:val="16"/>
        </w:numPr>
      </w:pPr>
      <w:r w:rsidRPr="00B4552C">
        <w:rPr>
          <w:u w:val="single"/>
        </w:rPr>
        <w:t>Onsite / Virtual Reviews</w:t>
      </w:r>
      <w:r>
        <w:t xml:space="preserve"> – Review of the programmatic and financial activity of the subrecipient either through an onsite visit or a virtual meeting.  These reviews are more comprehensive and consists of the higher risk subrecipients.</w:t>
      </w:r>
    </w:p>
    <w:p w14:paraId="521FD239" w14:textId="77777777" w:rsidR="00957934" w:rsidRDefault="00957934" w:rsidP="009A73D2"/>
    <w:p w14:paraId="6BB09F7B" w14:textId="5D52F221" w:rsidR="00CF22E2" w:rsidRDefault="00CF22E2" w:rsidP="00CF22E2">
      <w:pPr>
        <w:ind w:left="810" w:hanging="810"/>
        <w:rPr>
          <w:rFonts w:eastAsiaTheme="minorEastAsia"/>
          <w:b/>
          <w:color w:val="A50021"/>
          <w:sz w:val="28"/>
          <w:szCs w:val="28"/>
        </w:rPr>
      </w:pPr>
      <w:r>
        <w:rPr>
          <w:rFonts w:eastAsiaTheme="minorEastAsia"/>
          <w:b/>
          <w:color w:val="A50021"/>
          <w:sz w:val="28"/>
          <w:szCs w:val="28"/>
        </w:rPr>
        <w:t>Monitoring Schedule</w:t>
      </w:r>
    </w:p>
    <w:p w14:paraId="71E32A04" w14:textId="075E3970" w:rsidR="00CF22E2" w:rsidRDefault="00CF22E2" w:rsidP="00CF22E2">
      <w:pPr>
        <w:pStyle w:val="NoSpacing"/>
      </w:pPr>
      <w:r>
        <w:t xml:space="preserve">Each year, </w:t>
      </w:r>
      <w:r w:rsidR="00B81BD7">
        <w:t xml:space="preserve">20% </w:t>
      </w:r>
      <w:r w:rsidR="00CE6D16">
        <w:t>of all</w:t>
      </w:r>
      <w:r w:rsidR="00B81BD7">
        <w:t xml:space="preserve"> </w:t>
      </w:r>
      <w:r w:rsidR="00CE6D16">
        <w:t xml:space="preserve">subrecipients </w:t>
      </w:r>
      <w:r>
        <w:t xml:space="preserve">will be monitored with all being monitored over a five year period.  </w:t>
      </w:r>
      <w:r w:rsidR="00CE6D16">
        <w:t xml:space="preserve">Based on the results of the risk assessment, </w:t>
      </w:r>
      <w:r w:rsidR="001A0E6C">
        <w:t xml:space="preserve">a determination will be made as to the type of monitoring that is appropriate for </w:t>
      </w:r>
      <w:r w:rsidR="00CE6D16">
        <w:t>each subrecipient</w:t>
      </w:r>
      <w:r w:rsidR="001A0E6C">
        <w:t xml:space="preserve">: </w:t>
      </w:r>
      <w:r w:rsidR="00CE6D16">
        <w:t xml:space="preserve">a desk review; a desk review with training and technical assistance; or an onsite </w:t>
      </w:r>
      <w:r w:rsidR="001A0E6C">
        <w:t>/</w:t>
      </w:r>
      <w:r w:rsidR="00CE6D16">
        <w:t xml:space="preserve"> virtual visit.  </w:t>
      </w:r>
    </w:p>
    <w:p w14:paraId="3A8EF9CE" w14:textId="77777777" w:rsidR="009A73D2" w:rsidRDefault="009A73D2">
      <w:pPr>
        <w:rPr>
          <w:rFonts w:eastAsiaTheme="minorEastAsia"/>
          <w:b/>
          <w:color w:val="A50021"/>
          <w:sz w:val="28"/>
          <w:szCs w:val="28"/>
        </w:rPr>
      </w:pPr>
    </w:p>
    <w:p w14:paraId="1DB400FA" w14:textId="0609FAFB" w:rsidR="00957934" w:rsidRDefault="00957934">
      <w:pPr>
        <w:rPr>
          <w:rFonts w:eastAsiaTheme="minorEastAsia"/>
          <w:b/>
          <w:color w:val="A50021"/>
          <w:sz w:val="28"/>
          <w:szCs w:val="28"/>
        </w:rPr>
      </w:pPr>
      <w:r>
        <w:rPr>
          <w:rFonts w:eastAsiaTheme="minorEastAsia"/>
          <w:b/>
          <w:color w:val="A50021"/>
          <w:sz w:val="28"/>
          <w:szCs w:val="28"/>
        </w:rPr>
        <w:t xml:space="preserve">Monitoring </w:t>
      </w:r>
      <w:r w:rsidR="00EF397D">
        <w:rPr>
          <w:rFonts w:eastAsiaTheme="minorEastAsia"/>
          <w:b/>
          <w:color w:val="A50021"/>
          <w:sz w:val="28"/>
          <w:szCs w:val="28"/>
        </w:rPr>
        <w:t xml:space="preserve">Process </w:t>
      </w:r>
      <w:r>
        <w:rPr>
          <w:rFonts w:eastAsiaTheme="minorEastAsia"/>
          <w:b/>
          <w:color w:val="A50021"/>
          <w:sz w:val="28"/>
          <w:szCs w:val="28"/>
        </w:rPr>
        <w:t>Team</w:t>
      </w:r>
    </w:p>
    <w:p w14:paraId="53B2ACBD" w14:textId="4DDFACD6" w:rsidR="00957934" w:rsidRDefault="00957934" w:rsidP="00957934">
      <w:pPr>
        <w:pStyle w:val="NoSpacing"/>
      </w:pPr>
      <w:r>
        <w:t xml:space="preserve">The </w:t>
      </w:r>
      <w:r w:rsidR="00532A43">
        <w:t xml:space="preserve">onsite / virtual </w:t>
      </w:r>
      <w:r>
        <w:t>review team from CareerTech will include the Internal Auditor</w:t>
      </w:r>
      <w:r w:rsidR="001A0E6C">
        <w:t xml:space="preserve"> and</w:t>
      </w:r>
      <w:r>
        <w:t xml:space="preserve"> Perkins Coordinator</w:t>
      </w:r>
      <w:r w:rsidR="001A0E6C">
        <w:t xml:space="preserve">, at minimum.  Depending on the size and scope of monitoring, other staff </w:t>
      </w:r>
      <w:r>
        <w:t xml:space="preserve">may be </w:t>
      </w:r>
      <w:r w:rsidR="001A0E6C">
        <w:t>added</w:t>
      </w:r>
      <w:r>
        <w:t xml:space="preserve"> including</w:t>
      </w:r>
      <w:r w:rsidR="001A0E6C">
        <w:t>:</w:t>
      </w:r>
      <w:r>
        <w:t xml:space="preserve"> Federal Programs Manager, </w:t>
      </w:r>
      <w:r w:rsidR="001A0E6C">
        <w:t xml:space="preserve">Perkins Financial Analyst, </w:t>
      </w:r>
      <w:r>
        <w:t xml:space="preserve">CTE Program Specialist, </w:t>
      </w:r>
      <w:r w:rsidR="001A0E6C">
        <w:t xml:space="preserve">Regional Coordinator </w:t>
      </w:r>
      <w:r>
        <w:t>and Career and Academic Connections Specialist.</w:t>
      </w:r>
    </w:p>
    <w:sectPr w:rsidR="00957934" w:rsidSect="004E56E5">
      <w:headerReference w:type="even" r:id="rId12"/>
      <w:headerReference w:type="default" r:id="rId13"/>
      <w:footerReference w:type="even" r:id="rId14"/>
      <w:footerReference w:type="default" r:id="rId15"/>
      <w:headerReference w:type="first" r:id="rId16"/>
      <w:footerReference w:type="first" r:id="rId17"/>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94181" w14:textId="77777777" w:rsidR="00867AD5" w:rsidRDefault="00867AD5" w:rsidP="00867AD5">
      <w:pPr>
        <w:spacing w:after="0" w:line="240" w:lineRule="auto"/>
      </w:pPr>
      <w:r>
        <w:separator/>
      </w:r>
    </w:p>
  </w:endnote>
  <w:endnote w:type="continuationSeparator" w:id="0">
    <w:p w14:paraId="158DBB38" w14:textId="77777777" w:rsidR="00867AD5" w:rsidRDefault="00867AD5" w:rsidP="0086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91C63" w14:textId="77777777" w:rsidR="00867AD5" w:rsidRDefault="00867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0BCEC" w14:textId="77777777" w:rsidR="00867AD5" w:rsidRDefault="00867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DF4D7" w14:textId="77777777" w:rsidR="00867AD5" w:rsidRDefault="00867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974CA" w14:textId="77777777" w:rsidR="00867AD5" w:rsidRDefault="00867AD5" w:rsidP="00867AD5">
      <w:pPr>
        <w:spacing w:after="0" w:line="240" w:lineRule="auto"/>
      </w:pPr>
      <w:r>
        <w:separator/>
      </w:r>
    </w:p>
  </w:footnote>
  <w:footnote w:type="continuationSeparator" w:id="0">
    <w:p w14:paraId="2B313E92" w14:textId="77777777" w:rsidR="00867AD5" w:rsidRDefault="00867AD5" w:rsidP="00867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7E2B2" w14:textId="77777777" w:rsidR="00867AD5" w:rsidRDefault="00867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04CBE" w14:textId="4F49FF46" w:rsidR="00867AD5" w:rsidRDefault="00867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4BAAE" w14:textId="77777777" w:rsidR="00867AD5" w:rsidRDefault="00867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1A0D"/>
    <w:multiLevelType w:val="hybridMultilevel"/>
    <w:tmpl w:val="370E6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5061"/>
    <w:multiLevelType w:val="hybridMultilevel"/>
    <w:tmpl w:val="DE921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D2B2C"/>
    <w:multiLevelType w:val="hybridMultilevel"/>
    <w:tmpl w:val="8D547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44533"/>
    <w:multiLevelType w:val="hybridMultilevel"/>
    <w:tmpl w:val="DDB28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F3B13"/>
    <w:multiLevelType w:val="hybridMultilevel"/>
    <w:tmpl w:val="35CE9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35811"/>
    <w:multiLevelType w:val="hybridMultilevel"/>
    <w:tmpl w:val="82C4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723AF"/>
    <w:multiLevelType w:val="hybridMultilevel"/>
    <w:tmpl w:val="5220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05FD1"/>
    <w:multiLevelType w:val="hybridMultilevel"/>
    <w:tmpl w:val="A01E4C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8C4F7C"/>
    <w:multiLevelType w:val="hybridMultilevel"/>
    <w:tmpl w:val="3AC6451A"/>
    <w:lvl w:ilvl="0" w:tplc="04090001">
      <w:start w:val="1"/>
      <w:numFmt w:val="bullet"/>
      <w:lvlText w:val=""/>
      <w:lvlJc w:val="left"/>
      <w:pPr>
        <w:ind w:left="2886" w:hanging="360"/>
      </w:pPr>
      <w:rPr>
        <w:rFonts w:ascii="Symbol" w:hAnsi="Symbol" w:hint="default"/>
      </w:rPr>
    </w:lvl>
    <w:lvl w:ilvl="1" w:tplc="04090003">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9" w15:restartNumberingAfterBreak="0">
    <w:nsid w:val="3DE24263"/>
    <w:multiLevelType w:val="hybridMultilevel"/>
    <w:tmpl w:val="11A4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E002E"/>
    <w:multiLevelType w:val="hybridMultilevel"/>
    <w:tmpl w:val="3888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03866"/>
    <w:multiLevelType w:val="hybridMultilevel"/>
    <w:tmpl w:val="DE5E4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E68BB"/>
    <w:multiLevelType w:val="hybridMultilevel"/>
    <w:tmpl w:val="24F07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8721E"/>
    <w:multiLevelType w:val="hybridMultilevel"/>
    <w:tmpl w:val="94F02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F91AFB"/>
    <w:multiLevelType w:val="hybridMultilevel"/>
    <w:tmpl w:val="D2988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932D88"/>
    <w:multiLevelType w:val="hybridMultilevel"/>
    <w:tmpl w:val="0242E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2B3EA1"/>
    <w:multiLevelType w:val="hybridMultilevel"/>
    <w:tmpl w:val="D772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EA02AD"/>
    <w:multiLevelType w:val="hybridMultilevel"/>
    <w:tmpl w:val="A31C0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467FE1"/>
    <w:multiLevelType w:val="hybridMultilevel"/>
    <w:tmpl w:val="7C9C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22060"/>
    <w:multiLevelType w:val="hybridMultilevel"/>
    <w:tmpl w:val="5B5E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4"/>
  </w:num>
  <w:num w:numId="4">
    <w:abstractNumId w:val="12"/>
  </w:num>
  <w:num w:numId="5">
    <w:abstractNumId w:val="3"/>
  </w:num>
  <w:num w:numId="6">
    <w:abstractNumId w:val="19"/>
  </w:num>
  <w:num w:numId="7">
    <w:abstractNumId w:val="1"/>
  </w:num>
  <w:num w:numId="8">
    <w:abstractNumId w:val="11"/>
  </w:num>
  <w:num w:numId="9">
    <w:abstractNumId w:val="14"/>
  </w:num>
  <w:num w:numId="10">
    <w:abstractNumId w:val="16"/>
  </w:num>
  <w:num w:numId="11">
    <w:abstractNumId w:val="18"/>
  </w:num>
  <w:num w:numId="12">
    <w:abstractNumId w:val="7"/>
  </w:num>
  <w:num w:numId="13">
    <w:abstractNumId w:val="9"/>
  </w:num>
  <w:num w:numId="14">
    <w:abstractNumId w:val="5"/>
  </w:num>
  <w:num w:numId="15">
    <w:abstractNumId w:val="17"/>
  </w:num>
  <w:num w:numId="16">
    <w:abstractNumId w:val="10"/>
  </w:num>
  <w:num w:numId="17">
    <w:abstractNumId w:val="0"/>
  </w:num>
  <w:num w:numId="18">
    <w:abstractNumId w:val="13"/>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05"/>
    <w:rsid w:val="0002305C"/>
    <w:rsid w:val="00027A6C"/>
    <w:rsid w:val="00044BE2"/>
    <w:rsid w:val="000B2D8D"/>
    <w:rsid w:val="000B50A4"/>
    <w:rsid w:val="000B5F79"/>
    <w:rsid w:val="000C2E26"/>
    <w:rsid w:val="000D7D30"/>
    <w:rsid w:val="000E2E19"/>
    <w:rsid w:val="00153DAE"/>
    <w:rsid w:val="00157642"/>
    <w:rsid w:val="00185B1E"/>
    <w:rsid w:val="001979AC"/>
    <w:rsid w:val="001A0E6C"/>
    <w:rsid w:val="001B0585"/>
    <w:rsid w:val="001C1FC3"/>
    <w:rsid w:val="001C664A"/>
    <w:rsid w:val="001C7A25"/>
    <w:rsid w:val="001F7552"/>
    <w:rsid w:val="00203B94"/>
    <w:rsid w:val="00206285"/>
    <w:rsid w:val="00233346"/>
    <w:rsid w:val="0024638A"/>
    <w:rsid w:val="002945A1"/>
    <w:rsid w:val="002A34A4"/>
    <w:rsid w:val="002C757C"/>
    <w:rsid w:val="002D2F19"/>
    <w:rsid w:val="002E134E"/>
    <w:rsid w:val="002F4386"/>
    <w:rsid w:val="002F6B81"/>
    <w:rsid w:val="00306805"/>
    <w:rsid w:val="003143DF"/>
    <w:rsid w:val="003219A3"/>
    <w:rsid w:val="00353E57"/>
    <w:rsid w:val="003565EF"/>
    <w:rsid w:val="0036173A"/>
    <w:rsid w:val="00397744"/>
    <w:rsid w:val="003A40D1"/>
    <w:rsid w:val="003B547A"/>
    <w:rsid w:val="00446B1B"/>
    <w:rsid w:val="00463A22"/>
    <w:rsid w:val="00467F3F"/>
    <w:rsid w:val="00471557"/>
    <w:rsid w:val="004A661E"/>
    <w:rsid w:val="004E0B9C"/>
    <w:rsid w:val="004E56E5"/>
    <w:rsid w:val="004F2733"/>
    <w:rsid w:val="00512942"/>
    <w:rsid w:val="00530B96"/>
    <w:rsid w:val="00532A43"/>
    <w:rsid w:val="00543D69"/>
    <w:rsid w:val="00562A38"/>
    <w:rsid w:val="00590AA8"/>
    <w:rsid w:val="005A012D"/>
    <w:rsid w:val="005B1EB4"/>
    <w:rsid w:val="005B486D"/>
    <w:rsid w:val="005C19C6"/>
    <w:rsid w:val="005E457E"/>
    <w:rsid w:val="005F0323"/>
    <w:rsid w:val="00645119"/>
    <w:rsid w:val="00662142"/>
    <w:rsid w:val="00674329"/>
    <w:rsid w:val="006838C4"/>
    <w:rsid w:val="00687484"/>
    <w:rsid w:val="006A1156"/>
    <w:rsid w:val="006C5D9A"/>
    <w:rsid w:val="006E1958"/>
    <w:rsid w:val="00705FB2"/>
    <w:rsid w:val="00710A05"/>
    <w:rsid w:val="007357BD"/>
    <w:rsid w:val="00756AF2"/>
    <w:rsid w:val="00794B12"/>
    <w:rsid w:val="007C52DE"/>
    <w:rsid w:val="007D2CBD"/>
    <w:rsid w:val="00805638"/>
    <w:rsid w:val="008505A3"/>
    <w:rsid w:val="00867AD5"/>
    <w:rsid w:val="008908A2"/>
    <w:rsid w:val="008A4396"/>
    <w:rsid w:val="008C23B7"/>
    <w:rsid w:val="00902AE5"/>
    <w:rsid w:val="0091731F"/>
    <w:rsid w:val="00933DCA"/>
    <w:rsid w:val="00957934"/>
    <w:rsid w:val="00970F10"/>
    <w:rsid w:val="009A1914"/>
    <w:rsid w:val="009A1C8E"/>
    <w:rsid w:val="009A2B1D"/>
    <w:rsid w:val="009A73D2"/>
    <w:rsid w:val="009D505B"/>
    <w:rsid w:val="00A572CD"/>
    <w:rsid w:val="00A758CB"/>
    <w:rsid w:val="00A75EAB"/>
    <w:rsid w:val="00AA3AA2"/>
    <w:rsid w:val="00AB0B0C"/>
    <w:rsid w:val="00AC49EC"/>
    <w:rsid w:val="00AD11FE"/>
    <w:rsid w:val="00B00448"/>
    <w:rsid w:val="00B0346C"/>
    <w:rsid w:val="00B15FA3"/>
    <w:rsid w:val="00B4552C"/>
    <w:rsid w:val="00B76606"/>
    <w:rsid w:val="00B81BD7"/>
    <w:rsid w:val="00BA5EBA"/>
    <w:rsid w:val="00BD59E6"/>
    <w:rsid w:val="00BE2BC4"/>
    <w:rsid w:val="00BF3851"/>
    <w:rsid w:val="00C16D69"/>
    <w:rsid w:val="00C203CE"/>
    <w:rsid w:val="00C208A5"/>
    <w:rsid w:val="00C32E1D"/>
    <w:rsid w:val="00C367BB"/>
    <w:rsid w:val="00C430B8"/>
    <w:rsid w:val="00C60D4A"/>
    <w:rsid w:val="00C81779"/>
    <w:rsid w:val="00C86BAF"/>
    <w:rsid w:val="00C94C7C"/>
    <w:rsid w:val="00CA5D93"/>
    <w:rsid w:val="00CC05F3"/>
    <w:rsid w:val="00CE5F39"/>
    <w:rsid w:val="00CE6D16"/>
    <w:rsid w:val="00CF22E2"/>
    <w:rsid w:val="00CF4B72"/>
    <w:rsid w:val="00D12D00"/>
    <w:rsid w:val="00D177C4"/>
    <w:rsid w:val="00D95A3D"/>
    <w:rsid w:val="00DF3B5E"/>
    <w:rsid w:val="00E321C2"/>
    <w:rsid w:val="00E405BB"/>
    <w:rsid w:val="00E56E1C"/>
    <w:rsid w:val="00E77639"/>
    <w:rsid w:val="00E92E0A"/>
    <w:rsid w:val="00EA29EA"/>
    <w:rsid w:val="00EB7DB2"/>
    <w:rsid w:val="00EC1544"/>
    <w:rsid w:val="00EC630F"/>
    <w:rsid w:val="00ED1590"/>
    <w:rsid w:val="00ED20B6"/>
    <w:rsid w:val="00EF397D"/>
    <w:rsid w:val="00F10BAD"/>
    <w:rsid w:val="00F30E8D"/>
    <w:rsid w:val="00F31D78"/>
    <w:rsid w:val="00F54763"/>
    <w:rsid w:val="00F555CE"/>
    <w:rsid w:val="00F55C75"/>
    <w:rsid w:val="00F62B7A"/>
    <w:rsid w:val="00F6487F"/>
    <w:rsid w:val="00F929E4"/>
    <w:rsid w:val="00F930DB"/>
    <w:rsid w:val="00FB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3C2D51"/>
  <w15:chartTrackingRefBased/>
  <w15:docId w15:val="{2AE2383D-9E93-41B1-9C54-C9B0AAAD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06805"/>
    <w:pPr>
      <w:keepNext/>
      <w:keepLines/>
      <w:spacing w:before="120" w:after="0" w:line="240" w:lineRule="auto"/>
      <w:outlineLvl w:val="1"/>
    </w:pPr>
    <w:rPr>
      <w:rFonts w:asciiTheme="majorHAnsi" w:eastAsiaTheme="majorEastAsia" w:hAnsiTheme="majorHAnsi"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6805"/>
    <w:rPr>
      <w:rFonts w:asciiTheme="majorHAnsi" w:eastAsiaTheme="majorEastAsia" w:hAnsiTheme="majorHAnsi" w:cstheme="majorBidi"/>
      <w:sz w:val="36"/>
      <w:szCs w:val="36"/>
    </w:rPr>
  </w:style>
  <w:style w:type="paragraph" w:styleId="ListParagraph">
    <w:name w:val="List Paragraph"/>
    <w:basedOn w:val="Normal"/>
    <w:uiPriority w:val="34"/>
    <w:qFormat/>
    <w:rsid w:val="0036173A"/>
    <w:pPr>
      <w:spacing w:line="312" w:lineRule="auto"/>
      <w:ind w:left="720"/>
      <w:contextualSpacing/>
    </w:pPr>
    <w:rPr>
      <w:rFonts w:eastAsiaTheme="minorEastAsia"/>
      <w:sz w:val="21"/>
      <w:szCs w:val="21"/>
    </w:rPr>
  </w:style>
  <w:style w:type="table" w:styleId="ListTable3-Accent5">
    <w:name w:val="List Table 3 Accent 5"/>
    <w:basedOn w:val="TableNormal"/>
    <w:uiPriority w:val="48"/>
    <w:rsid w:val="00FB3C6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BalloonText">
    <w:name w:val="Balloon Text"/>
    <w:basedOn w:val="Normal"/>
    <w:link w:val="BalloonTextChar"/>
    <w:uiPriority w:val="99"/>
    <w:semiHidden/>
    <w:unhideWhenUsed/>
    <w:rsid w:val="005C1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9C6"/>
    <w:rPr>
      <w:rFonts w:ascii="Segoe UI" w:hAnsi="Segoe UI" w:cs="Segoe UI"/>
      <w:sz w:val="18"/>
      <w:szCs w:val="18"/>
    </w:rPr>
  </w:style>
  <w:style w:type="character" w:styleId="Hyperlink">
    <w:name w:val="Hyperlink"/>
    <w:basedOn w:val="DefaultParagraphFont"/>
    <w:uiPriority w:val="99"/>
    <w:unhideWhenUsed/>
    <w:rsid w:val="00CF4B72"/>
    <w:rPr>
      <w:color w:val="0563C1" w:themeColor="hyperlink"/>
      <w:u w:val="single"/>
    </w:rPr>
  </w:style>
  <w:style w:type="paragraph" w:styleId="Title">
    <w:name w:val="Title"/>
    <w:basedOn w:val="Normal"/>
    <w:next w:val="Normal"/>
    <w:link w:val="TitleChar"/>
    <w:uiPriority w:val="10"/>
    <w:qFormat/>
    <w:rsid w:val="0047155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471557"/>
    <w:rPr>
      <w:rFonts w:asciiTheme="majorHAnsi" w:eastAsiaTheme="majorEastAsia" w:hAnsiTheme="majorHAnsi" w:cstheme="majorBidi"/>
      <w:color w:val="323E4F" w:themeColor="text2" w:themeShade="BF"/>
      <w:spacing w:val="5"/>
      <w:sz w:val="52"/>
      <w:szCs w:val="52"/>
    </w:rPr>
  </w:style>
  <w:style w:type="character" w:styleId="FollowedHyperlink">
    <w:name w:val="FollowedHyperlink"/>
    <w:basedOn w:val="DefaultParagraphFont"/>
    <w:uiPriority w:val="99"/>
    <w:semiHidden/>
    <w:unhideWhenUsed/>
    <w:rsid w:val="0024638A"/>
    <w:rPr>
      <w:color w:val="954F72" w:themeColor="followedHyperlink"/>
      <w:u w:val="single"/>
    </w:rPr>
  </w:style>
  <w:style w:type="paragraph" w:styleId="NoSpacing">
    <w:name w:val="No Spacing"/>
    <w:uiPriority w:val="1"/>
    <w:qFormat/>
    <w:rsid w:val="006E1958"/>
    <w:pPr>
      <w:spacing w:after="0" w:line="240" w:lineRule="auto"/>
    </w:pPr>
  </w:style>
  <w:style w:type="paragraph" w:styleId="Header">
    <w:name w:val="header"/>
    <w:basedOn w:val="Normal"/>
    <w:link w:val="HeaderChar"/>
    <w:uiPriority w:val="99"/>
    <w:unhideWhenUsed/>
    <w:rsid w:val="00867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AD5"/>
  </w:style>
  <w:style w:type="paragraph" w:styleId="Footer">
    <w:name w:val="footer"/>
    <w:basedOn w:val="Normal"/>
    <w:link w:val="FooterChar"/>
    <w:uiPriority w:val="99"/>
    <w:unhideWhenUsed/>
    <w:rsid w:val="00867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36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9B53B3DBC0E42BB084EAD845FD746" ma:contentTypeVersion="4" ma:contentTypeDescription="Create a new document." ma:contentTypeScope="" ma:versionID="388e3e7d9ae458f1e6f94ee289f7c650">
  <xsd:schema xmlns:xsd="http://www.w3.org/2001/XMLSchema" xmlns:xs="http://www.w3.org/2001/XMLSchema" xmlns:p="http://schemas.microsoft.com/office/2006/metadata/properties" xmlns:ns2="6a36c8ef-8d2d-435b-aee1-e7e8dc8524ff" xmlns:ns3="ab252108-1312-4126-8895-69de05005ca8" targetNamespace="http://schemas.microsoft.com/office/2006/metadata/properties" ma:root="true" ma:fieldsID="ccde87d795cb86edb9ca6ac6df2ae79a" ns2:_="" ns3:_="">
    <xsd:import namespace="6a36c8ef-8d2d-435b-aee1-e7e8dc8524ff"/>
    <xsd:import namespace="ab252108-1312-4126-8895-69de05005c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6c8ef-8d2d-435b-aee1-e7e8dc8524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252108-1312-4126-8895-69de05005ca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09D20-61A2-4927-BA39-8EA83CBFA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6c8ef-8d2d-435b-aee1-e7e8dc8524ff"/>
    <ds:schemaRef ds:uri="ab252108-1312-4126-8895-69de05005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276BD-78CB-44E6-B719-4959219AD34D}">
  <ds:schemaRefs>
    <ds:schemaRef ds:uri="http://schemas.microsoft.com/sharepoint/v3/contenttype/forms"/>
  </ds:schemaRefs>
</ds:datastoreItem>
</file>

<file path=customXml/itemProps3.xml><?xml version="1.0" encoding="utf-8"?>
<ds:datastoreItem xmlns:ds="http://schemas.openxmlformats.org/officeDocument/2006/customXml" ds:itemID="{AA9E0B7E-8C00-4A88-86C4-A6C2E112A06D}">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ab252108-1312-4126-8895-69de05005ca8"/>
    <ds:schemaRef ds:uri="6a36c8ef-8d2d-435b-aee1-e7e8dc8524ff"/>
    <ds:schemaRef ds:uri="http://www.w3.org/XML/1998/namespace"/>
  </ds:schemaRefs>
</ds:datastoreItem>
</file>

<file path=customXml/itemProps4.xml><?xml version="1.0" encoding="utf-8"?>
<ds:datastoreItem xmlns:ds="http://schemas.openxmlformats.org/officeDocument/2006/customXml" ds:itemID="{65C5CFD3-7193-489E-81D3-BDE7E210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Rushmore</dc:creator>
  <cp:keywords/>
  <dc:description/>
  <cp:lastModifiedBy>Lisa Batchelder</cp:lastModifiedBy>
  <cp:revision>2</cp:revision>
  <cp:lastPrinted>2021-02-02T20:42:00Z</cp:lastPrinted>
  <dcterms:created xsi:type="dcterms:W3CDTF">2021-06-10T20:41:00Z</dcterms:created>
  <dcterms:modified xsi:type="dcterms:W3CDTF">2021-06-10T20:41:00Z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0x0101005A59B53B3DBC0E42BB084EAD845FD746</vt:lpwstr>
  </property>
</Properties>
</file>