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F32E6" w14:textId="4D55D3FF" w:rsidR="00724974" w:rsidRDefault="00B46ADA" w:rsidP="00724974">
      <w:pPr>
        <w:jc w:val="right"/>
        <w:rPr>
          <w:b/>
          <w:sz w:val="28"/>
          <w:szCs w:val="28"/>
          <w:u w:val="single"/>
        </w:rPr>
      </w:pPr>
      <w:r>
        <w:rPr>
          <w:b/>
          <w:noProof/>
          <w:sz w:val="28"/>
          <w:szCs w:val="28"/>
          <w:u w:val="single"/>
        </w:rPr>
        <w:drawing>
          <wp:inline distT="0" distB="0" distL="0" distR="0" wp14:anchorId="70B2C3FC" wp14:editId="6EC5D616">
            <wp:extent cx="1095460" cy="495416"/>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4483" cy="504019"/>
                    </a:xfrm>
                    <a:prstGeom prst="rect">
                      <a:avLst/>
                    </a:prstGeom>
                  </pic:spPr>
                </pic:pic>
              </a:graphicData>
            </a:graphic>
          </wp:inline>
        </w:drawing>
      </w:r>
    </w:p>
    <w:p w14:paraId="05AD00A6" w14:textId="6A5C61E2" w:rsidR="003048B5" w:rsidRPr="00E464F6" w:rsidRDefault="00611B14" w:rsidP="00E464F6">
      <w:pPr>
        <w:jc w:val="center"/>
        <w:rPr>
          <w:b/>
          <w:sz w:val="32"/>
          <w:szCs w:val="28"/>
          <w:u w:val="single"/>
        </w:rPr>
      </w:pPr>
      <w:r w:rsidRPr="00E464F6">
        <w:rPr>
          <w:b/>
          <w:sz w:val="32"/>
          <w:szCs w:val="28"/>
          <w:u w:val="single"/>
        </w:rPr>
        <w:t>Perkins Innovative</w:t>
      </w:r>
      <w:r w:rsidR="00B21A4E" w:rsidRPr="00E464F6">
        <w:rPr>
          <w:b/>
          <w:sz w:val="32"/>
          <w:szCs w:val="28"/>
          <w:u w:val="single"/>
        </w:rPr>
        <w:t xml:space="preserve"> Grants</w:t>
      </w:r>
    </w:p>
    <w:p w14:paraId="58FE9607" w14:textId="77777777" w:rsidR="00EC31F6" w:rsidRPr="00E003CC" w:rsidRDefault="00EC31F6">
      <w:pPr>
        <w:rPr>
          <w:b/>
          <w:sz w:val="24"/>
          <w:szCs w:val="24"/>
        </w:rPr>
      </w:pPr>
      <w:r w:rsidRPr="00E003CC">
        <w:rPr>
          <w:b/>
          <w:sz w:val="24"/>
          <w:szCs w:val="24"/>
        </w:rPr>
        <w:t>Things to know:</w:t>
      </w:r>
    </w:p>
    <w:p w14:paraId="39CE6D73" w14:textId="6DC30E82" w:rsidR="00EC31F6" w:rsidRPr="00E003CC" w:rsidRDefault="00EC31F6" w:rsidP="00EC31F6">
      <w:pPr>
        <w:pStyle w:val="ListParagraph"/>
        <w:numPr>
          <w:ilvl w:val="0"/>
          <w:numId w:val="1"/>
        </w:numPr>
      </w:pPr>
      <w:r w:rsidRPr="00E003CC">
        <w:t xml:space="preserve">All grants will be on a </w:t>
      </w:r>
      <w:r w:rsidRPr="002D506D">
        <w:rPr>
          <w:bCs/>
        </w:rPr>
        <w:t>two-year award cycle</w:t>
      </w:r>
      <w:r w:rsidR="002D506D">
        <w:t xml:space="preserve"> (except CTE New Program Grant)</w:t>
      </w:r>
      <w:r w:rsidRPr="00E003CC">
        <w:t xml:space="preserve"> to match the Comprehensive Local Needs Assessment timeline.</w:t>
      </w:r>
      <w:r w:rsidR="00E003CC">
        <w:t xml:space="preserve">  </w:t>
      </w:r>
      <w:r w:rsidR="008C5629">
        <w:t>To be eligible for awards</w:t>
      </w:r>
      <w:r w:rsidR="002D506D">
        <w:t>,</w:t>
      </w:r>
      <w:r w:rsidR="00E003CC">
        <w:t xml:space="preserve"> recipients will be required to complete and submit their Comprehensive Local Needs Assessment.</w:t>
      </w:r>
    </w:p>
    <w:p w14:paraId="512AB6DA" w14:textId="3A85189A" w:rsidR="00281ED0" w:rsidRDefault="00EC31F6" w:rsidP="00281ED0">
      <w:pPr>
        <w:pStyle w:val="ListParagraph"/>
        <w:numPr>
          <w:ilvl w:val="0"/>
          <w:numId w:val="1"/>
        </w:numPr>
      </w:pPr>
      <w:r w:rsidRPr="00E003CC">
        <w:t>Grant recipients will have to show progress towards goal completion by the end of the first year of funding to receive 2</w:t>
      </w:r>
      <w:r w:rsidRPr="00E003CC">
        <w:rPr>
          <w:vertAlign w:val="superscript"/>
        </w:rPr>
        <w:t>nd</w:t>
      </w:r>
      <w:r w:rsidRPr="00E003CC">
        <w:t xml:space="preserve"> year funding.  These Benchmarks will be developed in collaboration with the Program area innovative grant leads and the recipients.</w:t>
      </w:r>
    </w:p>
    <w:p w14:paraId="1F0DA0C4" w14:textId="38410B79" w:rsidR="002D506D" w:rsidRDefault="002D506D" w:rsidP="00281ED0">
      <w:pPr>
        <w:pStyle w:val="ListParagraph"/>
        <w:numPr>
          <w:ilvl w:val="0"/>
          <w:numId w:val="1"/>
        </w:numPr>
      </w:pPr>
      <w:r>
        <w:t xml:space="preserve">Districts can apply for multiple grants. </w:t>
      </w:r>
    </w:p>
    <w:p w14:paraId="6B7D7C5A" w14:textId="7548326A" w:rsidR="008C5629" w:rsidRDefault="008C5629" w:rsidP="008C5629">
      <w:pPr>
        <w:ind w:left="360"/>
      </w:pPr>
      <w:r>
        <w:t xml:space="preserve">There </w:t>
      </w:r>
      <w:r w:rsidR="002D506D">
        <w:t>are</w:t>
      </w:r>
      <w:r>
        <w:t xml:space="preserve"> </w:t>
      </w:r>
      <w:r w:rsidR="002D506D">
        <w:t>8</w:t>
      </w:r>
      <w:r>
        <w:t xml:space="preserve"> Innovat</w:t>
      </w:r>
      <w:r w:rsidR="002D506D">
        <w:t>ive</w:t>
      </w:r>
      <w:r>
        <w:t xml:space="preserve"> Grant</w:t>
      </w:r>
      <w:r w:rsidR="002D506D">
        <w:t xml:space="preserve">s </w:t>
      </w:r>
      <w:r>
        <w:t>that all eligible recipients can apply for:</w:t>
      </w:r>
    </w:p>
    <w:p w14:paraId="48187B69" w14:textId="77777777" w:rsidR="008C5629" w:rsidRDefault="008C5629" w:rsidP="008C5629">
      <w:pPr>
        <w:pStyle w:val="ListParagraph"/>
        <w:numPr>
          <w:ilvl w:val="0"/>
          <w:numId w:val="2"/>
        </w:numPr>
      </w:pPr>
      <w:bookmarkStart w:id="0" w:name="_Hlk213664002"/>
      <w:r>
        <w:t>Career Development and Programs of Study</w:t>
      </w:r>
    </w:p>
    <w:p w14:paraId="6E434894" w14:textId="5D9B94DD" w:rsidR="008C5629" w:rsidRDefault="008C5629" w:rsidP="008C5629">
      <w:pPr>
        <w:pStyle w:val="ListParagraph"/>
        <w:numPr>
          <w:ilvl w:val="0"/>
          <w:numId w:val="2"/>
        </w:numPr>
      </w:pPr>
      <w:r>
        <w:t>Career Pathways, Workf</w:t>
      </w:r>
      <w:r w:rsidR="00281ED0">
        <w:t>orce, and Industry Partnerships</w:t>
      </w:r>
    </w:p>
    <w:p w14:paraId="26444303" w14:textId="77777777" w:rsidR="008C5629" w:rsidRDefault="008C5629" w:rsidP="008C5629">
      <w:pPr>
        <w:pStyle w:val="ListParagraph"/>
        <w:numPr>
          <w:ilvl w:val="0"/>
          <w:numId w:val="2"/>
        </w:numPr>
      </w:pPr>
      <w:r>
        <w:t>Supporting CTE Special Populations</w:t>
      </w:r>
    </w:p>
    <w:p w14:paraId="23CB9DA3" w14:textId="77777777" w:rsidR="008C5629" w:rsidRDefault="008C5629" w:rsidP="008C5629">
      <w:pPr>
        <w:pStyle w:val="ListParagraph"/>
        <w:numPr>
          <w:ilvl w:val="0"/>
          <w:numId w:val="2"/>
        </w:numPr>
      </w:pPr>
      <w:r>
        <w:t>High Growth and Emerging Technologies</w:t>
      </w:r>
    </w:p>
    <w:p w14:paraId="556B3DFF" w14:textId="77777777" w:rsidR="008C5629" w:rsidRDefault="008C5629" w:rsidP="008C5629">
      <w:pPr>
        <w:pStyle w:val="ListParagraph"/>
        <w:numPr>
          <w:ilvl w:val="0"/>
          <w:numId w:val="2"/>
        </w:numPr>
      </w:pPr>
      <w:r>
        <w:t xml:space="preserve">Innovation in Career Exploration </w:t>
      </w:r>
    </w:p>
    <w:p w14:paraId="0E3639EE" w14:textId="7598D515" w:rsidR="008C5629" w:rsidRDefault="00CB1FF0" w:rsidP="008C5629">
      <w:pPr>
        <w:pStyle w:val="ListParagraph"/>
        <w:numPr>
          <w:ilvl w:val="0"/>
          <w:numId w:val="2"/>
        </w:numPr>
      </w:pPr>
      <w:r>
        <w:t xml:space="preserve">Innovative Strategies to Recruit and Retain - </w:t>
      </w:r>
      <w:r w:rsidR="00281ED0">
        <w:t>High Schools/Tech Centers That Work</w:t>
      </w:r>
      <w:r>
        <w:t xml:space="preserve"> &amp; Other</w:t>
      </w:r>
    </w:p>
    <w:p w14:paraId="03338D94" w14:textId="73E184D0" w:rsidR="002D506D" w:rsidRDefault="002D506D" w:rsidP="008C5629">
      <w:pPr>
        <w:pStyle w:val="ListParagraph"/>
        <w:numPr>
          <w:ilvl w:val="0"/>
          <w:numId w:val="2"/>
        </w:numPr>
      </w:pPr>
      <w:r>
        <w:t xml:space="preserve">CTE New Program </w:t>
      </w:r>
    </w:p>
    <w:p w14:paraId="5987B9B0" w14:textId="131746EA" w:rsidR="002D506D" w:rsidRDefault="002D506D" w:rsidP="008C5629">
      <w:pPr>
        <w:pStyle w:val="ListParagraph"/>
        <w:numPr>
          <w:ilvl w:val="0"/>
          <w:numId w:val="2"/>
        </w:numPr>
      </w:pPr>
      <w:r>
        <w:t xml:space="preserve">Improving Academic Proficiency </w:t>
      </w:r>
    </w:p>
    <w:p w14:paraId="60833B01" w14:textId="77777777" w:rsidR="008C5629" w:rsidRPr="00177C41" w:rsidRDefault="008C5629" w:rsidP="008C5629">
      <w:pPr>
        <w:rPr>
          <w:b/>
          <w:sz w:val="24"/>
          <w:szCs w:val="24"/>
        </w:rPr>
      </w:pPr>
      <w:bookmarkStart w:id="1" w:name="_Hlk213664100"/>
      <w:bookmarkEnd w:id="0"/>
      <w:r w:rsidRPr="00177C41">
        <w:rPr>
          <w:b/>
          <w:sz w:val="24"/>
          <w:szCs w:val="24"/>
        </w:rPr>
        <w:t>Eligibility Requirements:</w:t>
      </w:r>
    </w:p>
    <w:p w14:paraId="10575095" w14:textId="52C75140" w:rsidR="00FB469B" w:rsidRDefault="00C25380" w:rsidP="001C4884">
      <w:pPr>
        <w:rPr>
          <w:rFonts w:ascii="Calibri" w:hAnsi="Calibri" w:cs="Calibri"/>
        </w:rPr>
      </w:pPr>
      <w:r>
        <w:rPr>
          <w:rFonts w:ascii="Calibri" w:hAnsi="Calibri" w:cs="Calibri"/>
        </w:rPr>
        <w:t xml:space="preserve">Secondary schools and technology centers applying for a grant serving secondary students must meet the $15,000 allocation requirement. Technology centers and colleges applying for a grant serving post-secondary students must meet the $50,000 allocation requirement. </w:t>
      </w:r>
      <w:r w:rsidR="008C5629" w:rsidRPr="00815B42">
        <w:rPr>
          <w:rFonts w:ascii="Calibri" w:hAnsi="Calibri" w:cs="Calibri"/>
        </w:rPr>
        <w:t xml:space="preserve">Successful completion of the Local Application for Perkins Funding, or completion of the Comprehensive </w:t>
      </w:r>
      <w:r w:rsidR="00D55035">
        <w:rPr>
          <w:rFonts w:ascii="Calibri" w:hAnsi="Calibri" w:cs="Calibri"/>
        </w:rPr>
        <w:t>L</w:t>
      </w:r>
      <w:r w:rsidR="008C5629" w:rsidRPr="00815B42">
        <w:rPr>
          <w:rFonts w:ascii="Calibri" w:hAnsi="Calibri" w:cs="Calibri"/>
        </w:rPr>
        <w:t xml:space="preserve">ocal </w:t>
      </w:r>
      <w:r w:rsidR="00D55035">
        <w:rPr>
          <w:rFonts w:ascii="Calibri" w:hAnsi="Calibri" w:cs="Calibri"/>
        </w:rPr>
        <w:t>N</w:t>
      </w:r>
      <w:r w:rsidR="008C5629" w:rsidRPr="00815B42">
        <w:rPr>
          <w:rFonts w:ascii="Calibri" w:hAnsi="Calibri" w:cs="Calibri"/>
        </w:rPr>
        <w:t xml:space="preserve">eeds </w:t>
      </w:r>
      <w:r w:rsidR="00D55035">
        <w:rPr>
          <w:rFonts w:ascii="Calibri" w:hAnsi="Calibri" w:cs="Calibri"/>
        </w:rPr>
        <w:t>A</w:t>
      </w:r>
      <w:r w:rsidR="008C5629" w:rsidRPr="00815B42">
        <w:rPr>
          <w:rFonts w:ascii="Calibri" w:hAnsi="Calibri" w:cs="Calibri"/>
        </w:rPr>
        <w:t>ssessment are required.</w:t>
      </w:r>
      <w:bookmarkStart w:id="2" w:name="_Hlk213228788"/>
      <w:bookmarkStart w:id="3" w:name="_Hlk213662918"/>
    </w:p>
    <w:p w14:paraId="573F9DB6" w14:textId="5D00B63D" w:rsidR="001C4884" w:rsidRPr="001C4884" w:rsidRDefault="001C4884" w:rsidP="001C4884">
      <w:pPr>
        <w:rPr>
          <w:rFonts w:ascii="Calibri" w:hAnsi="Calibri" w:cs="Calibri"/>
        </w:rPr>
      </w:pPr>
      <w:r w:rsidRPr="00FB469B">
        <w:rPr>
          <w:rFonts w:ascii="Calibri" w:hAnsi="Calibri" w:cs="Calibri"/>
        </w:rPr>
        <w:t>New for the FY27 funding cycle,</w:t>
      </w:r>
      <w:r w:rsidRPr="001C4884">
        <w:rPr>
          <w:rFonts w:ascii="Calibri" w:hAnsi="Calibri" w:cs="Calibri"/>
        </w:rPr>
        <w:t xml:space="preserve"> all innovative grants will now be available to rural schools below the $15,000 minimum requirement that are otherwise members of a consortium. Eligibility requirements include submission of a completed Comprehensive Local Needs Assessment (CLNA), and the school district must have at least 2 programs (defined as 2 PIDs) to apply. The CLNA submitted by the fiscal agent of the consortium is acceptable </w:t>
      </w:r>
      <w:r w:rsidR="00FB469B" w:rsidRPr="001C4884">
        <w:rPr>
          <w:rFonts w:ascii="Calibri" w:hAnsi="Calibri" w:cs="Calibri"/>
        </w:rPr>
        <w:t>if</w:t>
      </w:r>
      <w:r w:rsidRPr="001C4884">
        <w:rPr>
          <w:rFonts w:ascii="Calibri" w:hAnsi="Calibri" w:cs="Calibri"/>
        </w:rPr>
        <w:t xml:space="preserve"> the innovative grant aligns with the priorities outlined in the CLNA. </w:t>
      </w:r>
      <w:bookmarkStart w:id="4" w:name="_Hlk213662445"/>
      <w:r w:rsidRPr="001C4884">
        <w:rPr>
          <w:rFonts w:ascii="Calibri" w:hAnsi="Calibri" w:cs="Calibri"/>
        </w:rPr>
        <w:t xml:space="preserve">Funding amounts vary based on the </w:t>
      </w:r>
      <w:hyperlink r:id="rId9" w:history="1">
        <w:r w:rsidRPr="00E51E21">
          <w:rPr>
            <w:rStyle w:val="Hyperlink"/>
            <w:rFonts w:ascii="Calibri" w:hAnsi="Calibri" w:cs="Calibri"/>
          </w:rPr>
          <w:t>district’s</w:t>
        </w:r>
        <w:r w:rsidR="00BC2A33" w:rsidRPr="00E51E21">
          <w:rPr>
            <w:rStyle w:val="Hyperlink"/>
            <w:rFonts w:ascii="Calibri" w:hAnsi="Calibri" w:cs="Calibri"/>
          </w:rPr>
          <w:t xml:space="preserve"> previous year’s</w:t>
        </w:r>
        <w:r w:rsidRPr="00E51E21">
          <w:rPr>
            <w:rStyle w:val="Hyperlink"/>
            <w:rFonts w:ascii="Calibri" w:hAnsi="Calibri" w:cs="Calibri"/>
          </w:rPr>
          <w:t xml:space="preserve"> allocation</w:t>
        </w:r>
      </w:hyperlink>
      <w:r w:rsidRPr="001C4884">
        <w:rPr>
          <w:rFonts w:ascii="Calibri" w:hAnsi="Calibri" w:cs="Calibri"/>
        </w:rPr>
        <w:t xml:space="preserve"> using the parameters below. </w:t>
      </w:r>
      <w:bookmarkEnd w:id="4"/>
    </w:p>
    <w:p w14:paraId="2C88300F" w14:textId="77D0C0E8" w:rsidR="00D55035" w:rsidRPr="00C16D60" w:rsidRDefault="00D55035" w:rsidP="00D55035">
      <w:pPr>
        <w:ind w:left="720"/>
        <w:rPr>
          <w:rFonts w:ascii="Calibri" w:hAnsi="Calibri" w:cs="Calibri"/>
        </w:rPr>
      </w:pPr>
      <w:r w:rsidRPr="00C16D60">
        <w:rPr>
          <w:rFonts w:ascii="Calibri" w:hAnsi="Calibri" w:cs="Calibri"/>
        </w:rPr>
        <w:t>Allocation Amount:</w:t>
      </w:r>
    </w:p>
    <w:p w14:paraId="4949248D" w14:textId="038EB0C4" w:rsidR="00AF2372" w:rsidRPr="00C16D60" w:rsidRDefault="00D55035" w:rsidP="00C16D60">
      <w:pPr>
        <w:ind w:left="720"/>
        <w:rPr>
          <w:rFonts w:ascii="Calibri" w:hAnsi="Calibri" w:cs="Calibri"/>
        </w:rPr>
      </w:pPr>
      <w:r w:rsidRPr="00C16D60">
        <w:rPr>
          <w:rFonts w:ascii="Calibri" w:hAnsi="Calibri" w:cs="Calibri"/>
        </w:rPr>
        <w:t>$0 to $4,999 - up to 25% of the maximum grant amount</w:t>
      </w:r>
      <w:r w:rsidRPr="00C16D60">
        <w:rPr>
          <w:rFonts w:ascii="Calibri" w:hAnsi="Calibri" w:cs="Calibri"/>
        </w:rPr>
        <w:br/>
        <w:t>$5,000 to $9,999 – up to 50% of the maximum grant amount</w:t>
      </w:r>
      <w:r w:rsidRPr="00C16D60">
        <w:rPr>
          <w:rFonts w:ascii="Calibri" w:hAnsi="Calibri" w:cs="Calibri"/>
        </w:rPr>
        <w:br/>
        <w:t>$10,000 to $14,999 – up to 75% of the maximum grant amount</w:t>
      </w:r>
    </w:p>
    <w:bookmarkEnd w:id="1"/>
    <w:p w14:paraId="67F9E2EE" w14:textId="77777777" w:rsidR="00CF6B64" w:rsidRDefault="00AF2372" w:rsidP="00177C41">
      <w:pPr>
        <w:rPr>
          <w:rFonts w:ascii="Calibri" w:hAnsi="Calibri" w:cs="Calibri"/>
        </w:rPr>
      </w:pPr>
      <w:r w:rsidRPr="00C16D60">
        <w:rPr>
          <w:rFonts w:ascii="Calibri" w:hAnsi="Calibri" w:cs="Calibri"/>
        </w:rPr>
        <w:lastRenderedPageBreak/>
        <w:t>Schools that are below $15,000 allocation but eligible to stand alone (*) may still apply for up to the full amount.</w:t>
      </w:r>
      <w:r>
        <w:rPr>
          <w:rFonts w:ascii="Calibri" w:hAnsi="Calibri" w:cs="Calibri"/>
        </w:rPr>
        <w:t xml:space="preserve"> </w:t>
      </w:r>
      <w:bookmarkEnd w:id="2"/>
    </w:p>
    <w:bookmarkEnd w:id="3"/>
    <w:p w14:paraId="15165464" w14:textId="2BF16D46" w:rsidR="00177C41" w:rsidRPr="00CF6B64" w:rsidRDefault="00177C41" w:rsidP="00177C41">
      <w:pPr>
        <w:rPr>
          <w:rFonts w:ascii="Calibri" w:hAnsi="Calibri" w:cs="Calibri"/>
        </w:rPr>
      </w:pPr>
      <w:r w:rsidRPr="00177C41">
        <w:rPr>
          <w:rFonts w:ascii="Calibri" w:hAnsi="Calibri" w:cs="Calibri"/>
          <w:b/>
          <w:bCs/>
          <w:sz w:val="24"/>
          <w:szCs w:val="24"/>
        </w:rPr>
        <w:t>Overview of Grant initiatives:</w:t>
      </w:r>
    </w:p>
    <w:p w14:paraId="14B04617" w14:textId="77777777" w:rsidR="00177C41" w:rsidRDefault="00177C41" w:rsidP="00177C41">
      <w:pPr>
        <w:spacing w:after="0" w:line="240" w:lineRule="auto"/>
        <w:rPr>
          <w:rFonts w:ascii="Calibri" w:hAnsi="Calibri" w:cs="Calibri"/>
          <w:bCs/>
          <w:u w:val="single"/>
        </w:rPr>
      </w:pPr>
      <w:hyperlink r:id="rId10" w:history="1">
        <w:r w:rsidRPr="00B21A4E">
          <w:rPr>
            <w:rStyle w:val="Hyperlink"/>
            <w:rFonts w:ascii="Calibri" w:hAnsi="Calibri" w:cs="Calibri"/>
            <w:bCs/>
          </w:rPr>
          <w:t>Career Development and Programs of Study:</w:t>
        </w:r>
      </w:hyperlink>
    </w:p>
    <w:p w14:paraId="497D97F4" w14:textId="7EAC16E7" w:rsidR="00177C41" w:rsidRDefault="00177C41" w:rsidP="00177C41">
      <w:pPr>
        <w:spacing w:after="0" w:line="240" w:lineRule="auto"/>
        <w:rPr>
          <w:rFonts w:cstheme="minorHAnsi"/>
        </w:rPr>
      </w:pPr>
      <w:r w:rsidRPr="00177C41">
        <w:rPr>
          <w:rFonts w:cstheme="minorHAnsi"/>
        </w:rPr>
        <w:t xml:space="preserve">Career development is an educational program designed to assure </w:t>
      </w:r>
      <w:r w:rsidR="001D7660">
        <w:rPr>
          <w:rFonts w:cstheme="minorHAnsi"/>
        </w:rPr>
        <w:t>students</w:t>
      </w:r>
      <w:r w:rsidRPr="00177C41">
        <w:rPr>
          <w:rFonts w:cstheme="minorHAnsi"/>
        </w:rPr>
        <w:t xml:space="preserve"> know how to make career choices and create full Carl Perkins Programs of Study individual career plans to prepare themselves for those careers.  The program ensures individuals make informed career decisions based on facts.  Career development, based upon the tenet that individuals who have career maturity make better career choices and have a better sense of the education plans needed to reach their career goals, including entrepreneurship.  Career maturity is when an individual has personal insight into the process of and readiness for making career choices.  It is NOT the process of choosing a specific career or job.  Career Development programs assist students in defining career pathways that prepare them for high-wage, high-skill, and in-demand occupations</w:t>
      </w:r>
      <w:r w:rsidR="00E52000">
        <w:rPr>
          <w:rFonts w:cstheme="minorHAnsi"/>
        </w:rPr>
        <w:t xml:space="preserve">. (Up to $50,000.00 year </w:t>
      </w:r>
      <w:r w:rsidR="002D506D">
        <w:rPr>
          <w:rFonts w:cstheme="minorHAnsi"/>
        </w:rPr>
        <w:t>one</w:t>
      </w:r>
      <w:r w:rsidR="00E52000">
        <w:rPr>
          <w:rFonts w:cstheme="minorHAnsi"/>
        </w:rPr>
        <w:t xml:space="preserve">, </w:t>
      </w:r>
      <w:proofErr w:type="gramStart"/>
      <w:r w:rsidR="00E52000">
        <w:rPr>
          <w:rFonts w:cstheme="minorHAnsi"/>
        </w:rPr>
        <w:t>Up</w:t>
      </w:r>
      <w:proofErr w:type="gramEnd"/>
      <w:r w:rsidR="00E52000">
        <w:rPr>
          <w:rFonts w:cstheme="minorHAnsi"/>
        </w:rPr>
        <w:t xml:space="preserve"> to $50,000.00 year </w:t>
      </w:r>
      <w:r w:rsidR="002D506D">
        <w:rPr>
          <w:rFonts w:cstheme="minorHAnsi"/>
        </w:rPr>
        <w:t>two</w:t>
      </w:r>
      <w:r w:rsidR="00E52000">
        <w:rPr>
          <w:rFonts w:cstheme="minorHAnsi"/>
        </w:rPr>
        <w:t>)</w:t>
      </w:r>
    </w:p>
    <w:p w14:paraId="723B3CEF" w14:textId="6F1070C2" w:rsidR="00B21A4E" w:rsidRDefault="00B21A4E" w:rsidP="00177C41">
      <w:pPr>
        <w:spacing w:after="0" w:line="240" w:lineRule="auto"/>
        <w:rPr>
          <w:rFonts w:cstheme="minorHAnsi"/>
        </w:rPr>
      </w:pPr>
    </w:p>
    <w:p w14:paraId="64C2B318" w14:textId="77777777" w:rsidR="002D506D" w:rsidRDefault="002D506D" w:rsidP="00177C41">
      <w:pPr>
        <w:spacing w:after="0" w:line="240" w:lineRule="auto"/>
        <w:rPr>
          <w:rFonts w:cstheme="minorHAnsi"/>
        </w:rPr>
      </w:pPr>
    </w:p>
    <w:p w14:paraId="659DA019" w14:textId="4FBC6F35" w:rsidR="00177C41" w:rsidRPr="00E52000" w:rsidRDefault="00177C41" w:rsidP="00177C41">
      <w:pPr>
        <w:spacing w:after="0" w:line="240" w:lineRule="auto"/>
        <w:rPr>
          <w:rFonts w:cstheme="minorHAnsi"/>
          <w:u w:val="single"/>
        </w:rPr>
      </w:pPr>
      <w:hyperlink r:id="rId11" w:history="1">
        <w:r w:rsidRPr="00B21A4E">
          <w:rPr>
            <w:rStyle w:val="Hyperlink"/>
            <w:rFonts w:cstheme="minorHAnsi"/>
          </w:rPr>
          <w:t xml:space="preserve">Career Pathways, </w:t>
        </w:r>
        <w:r w:rsidR="003F5BDA" w:rsidRPr="00B21A4E">
          <w:rPr>
            <w:rStyle w:val="Hyperlink"/>
            <w:rFonts w:cstheme="minorHAnsi"/>
          </w:rPr>
          <w:t>Workforce,</w:t>
        </w:r>
        <w:r w:rsidRPr="00B21A4E">
          <w:rPr>
            <w:rStyle w:val="Hyperlink"/>
            <w:rFonts w:cstheme="minorHAnsi"/>
          </w:rPr>
          <w:t xml:space="preserve"> and Industry Partnerships:</w:t>
        </w:r>
      </w:hyperlink>
    </w:p>
    <w:p w14:paraId="6B13C1E9" w14:textId="0871846C" w:rsidR="00177C41" w:rsidRDefault="00177C41" w:rsidP="00177C41">
      <w:pPr>
        <w:spacing w:after="0" w:line="240" w:lineRule="auto"/>
        <w:rPr>
          <w:rFonts w:cstheme="minorHAnsi"/>
        </w:rPr>
      </w:pPr>
      <w:r w:rsidRPr="00E52000">
        <w:rPr>
          <w:rFonts w:eastAsia="Times New Roman" w:cstheme="minorHAnsi"/>
        </w:rPr>
        <w:t>In an ongoing effort to support Career Pathways, Workforce, and Industry Partnerships the Oklahoma Department of Career and Technology Education supports the development of new innovative and the enhancement of existing Career Pathways in high-skill, in-demand, or high wage occupations.  Career Pathways and corresponding Programs of Study should support local, state, and global industries in meeting workforce needs while embracing rigorous academic and technical education.</w:t>
      </w:r>
      <w:r w:rsidR="00E52000" w:rsidRPr="00E52000">
        <w:rPr>
          <w:rFonts w:cstheme="minorHAnsi"/>
        </w:rPr>
        <w:t xml:space="preserve"> (</w:t>
      </w:r>
      <w:r w:rsidR="00E52000">
        <w:rPr>
          <w:rFonts w:cstheme="minorHAnsi"/>
        </w:rPr>
        <w:t xml:space="preserve">Up to </w:t>
      </w:r>
      <w:r w:rsidR="00E52000" w:rsidRPr="00E52000">
        <w:rPr>
          <w:rFonts w:cstheme="minorHAnsi"/>
        </w:rPr>
        <w:t xml:space="preserve">$50,000.00 year </w:t>
      </w:r>
      <w:r w:rsidR="002D506D">
        <w:rPr>
          <w:rFonts w:cstheme="minorHAnsi"/>
        </w:rPr>
        <w:t>one</w:t>
      </w:r>
      <w:r w:rsidR="00E52000" w:rsidRPr="00E52000">
        <w:rPr>
          <w:rFonts w:cstheme="minorHAnsi"/>
        </w:rPr>
        <w:t xml:space="preserve">, </w:t>
      </w:r>
      <w:proofErr w:type="gramStart"/>
      <w:r w:rsidR="00E52000">
        <w:rPr>
          <w:rFonts w:cstheme="minorHAnsi"/>
        </w:rPr>
        <w:t>Up</w:t>
      </w:r>
      <w:proofErr w:type="gramEnd"/>
      <w:r w:rsidR="00E52000">
        <w:rPr>
          <w:rFonts w:cstheme="minorHAnsi"/>
        </w:rPr>
        <w:t xml:space="preserve"> to </w:t>
      </w:r>
      <w:r w:rsidR="00E52000" w:rsidRPr="00E52000">
        <w:rPr>
          <w:rFonts w:cstheme="minorHAnsi"/>
        </w:rPr>
        <w:t xml:space="preserve">$25,000.00 year </w:t>
      </w:r>
      <w:r w:rsidR="002D506D">
        <w:rPr>
          <w:rFonts w:cstheme="minorHAnsi"/>
        </w:rPr>
        <w:t>two</w:t>
      </w:r>
      <w:r w:rsidR="00E52000" w:rsidRPr="00E52000">
        <w:rPr>
          <w:rFonts w:cstheme="minorHAnsi"/>
        </w:rPr>
        <w:t>)</w:t>
      </w:r>
    </w:p>
    <w:p w14:paraId="7002F7E2" w14:textId="77777777" w:rsidR="00E52000" w:rsidRPr="00E52000" w:rsidRDefault="00E52000" w:rsidP="00177C41">
      <w:pPr>
        <w:spacing w:after="0" w:line="240" w:lineRule="auto"/>
        <w:rPr>
          <w:rFonts w:eastAsia="Times New Roman" w:cstheme="minorHAnsi"/>
        </w:rPr>
      </w:pPr>
    </w:p>
    <w:p w14:paraId="3CEC9D33" w14:textId="77777777" w:rsidR="00177C41" w:rsidRPr="00E52000" w:rsidRDefault="00177C41" w:rsidP="00177C41">
      <w:pPr>
        <w:spacing w:after="0" w:line="240" w:lineRule="auto"/>
        <w:rPr>
          <w:rFonts w:eastAsia="Times New Roman" w:cstheme="minorHAnsi"/>
          <w:u w:val="single"/>
        </w:rPr>
      </w:pPr>
      <w:hyperlink r:id="rId12" w:history="1">
        <w:r w:rsidRPr="00B21A4E">
          <w:rPr>
            <w:rStyle w:val="Hyperlink"/>
            <w:rFonts w:eastAsia="Times New Roman" w:cstheme="minorHAnsi"/>
          </w:rPr>
          <w:t>Supporting CTE Special Populations:</w:t>
        </w:r>
      </w:hyperlink>
    </w:p>
    <w:p w14:paraId="5C57905B" w14:textId="2AF79B86" w:rsidR="00E52000" w:rsidRDefault="00177C41" w:rsidP="00177C41">
      <w:pPr>
        <w:rPr>
          <w:rFonts w:cstheme="minorHAnsi"/>
        </w:rPr>
      </w:pPr>
      <w:r w:rsidRPr="00E52000">
        <w:rPr>
          <w:rFonts w:cstheme="minorHAnsi"/>
        </w:rPr>
        <w:t>This grant can be used to help support Oklahoma career and technology education students who belong to a special population to explore career options and for transition support into postsecondary education/training levels as well as employment.</w:t>
      </w:r>
      <w:r w:rsidR="00E52000">
        <w:rPr>
          <w:rFonts w:cstheme="minorHAnsi"/>
        </w:rPr>
        <w:t xml:space="preserve"> </w:t>
      </w:r>
    </w:p>
    <w:p w14:paraId="2649E34E" w14:textId="14413264" w:rsidR="00177C41" w:rsidRPr="00E52000" w:rsidRDefault="00177C41" w:rsidP="00177C41">
      <w:pPr>
        <w:rPr>
          <w:rFonts w:cstheme="minorHAnsi"/>
          <w:b/>
        </w:rPr>
      </w:pPr>
      <w:r w:rsidRPr="00E52000">
        <w:rPr>
          <w:rFonts w:cstheme="minorHAnsi"/>
          <w:i/>
        </w:rPr>
        <w:t xml:space="preserve">Special Populations are defined in the Perkins V legislation as those students who fit any of the following </w:t>
      </w:r>
      <w:r w:rsidR="003F5BDA" w:rsidRPr="00E52000">
        <w:rPr>
          <w:rFonts w:cstheme="minorHAnsi"/>
          <w:i/>
        </w:rPr>
        <w:t>categories:</w:t>
      </w:r>
      <w:r w:rsidRPr="00E52000">
        <w:rPr>
          <w:rFonts w:cstheme="minorHAnsi"/>
          <w:i/>
        </w:rPr>
        <w:t xml:space="preserve"> </w:t>
      </w:r>
      <w:r w:rsidRPr="00E52000">
        <w:rPr>
          <w:rFonts w:cstheme="minorHAnsi"/>
          <w:b/>
        </w:rPr>
        <w:t>Individuals with Disabilities, Individuals from Economically Disadvantaged Families, Individuals Preparing for Non-Traditional Fields, Single Parents, Including Single Pregnant Women, Out Of Workforce Individuals, English Learners, Homeless Individuals, Youth In or Aged Out of Foster Care System, and Youth with a Parent who is a member of the Armed Forces and on Active Duty.</w:t>
      </w:r>
    </w:p>
    <w:p w14:paraId="0BE3E8C6" w14:textId="6E35E821" w:rsidR="00177C41" w:rsidRPr="00E52000" w:rsidRDefault="00177C41" w:rsidP="00281ED0">
      <w:pPr>
        <w:rPr>
          <w:rFonts w:cstheme="minorHAnsi"/>
        </w:rPr>
      </w:pPr>
      <w:r w:rsidRPr="00E52000">
        <w:rPr>
          <w:rFonts w:cstheme="minorHAnsi"/>
        </w:rPr>
        <w:t>This grant can help schools implement transition programs and/or other support strategies to assist in the provision of transferable skill sets to students regarding the attainment of meaningful employment and becoming productive members of society.</w:t>
      </w:r>
      <w:r w:rsidR="00E52000">
        <w:rPr>
          <w:rFonts w:cstheme="minorHAnsi"/>
        </w:rPr>
        <w:t xml:space="preserve"> (Up to $50,000.00 year </w:t>
      </w:r>
      <w:r w:rsidR="002D506D">
        <w:rPr>
          <w:rFonts w:cstheme="minorHAnsi"/>
        </w:rPr>
        <w:t>one</w:t>
      </w:r>
      <w:r w:rsidR="00E52000">
        <w:rPr>
          <w:rFonts w:cstheme="minorHAnsi"/>
        </w:rPr>
        <w:t xml:space="preserve">, </w:t>
      </w:r>
      <w:proofErr w:type="gramStart"/>
      <w:r w:rsidR="00E52000">
        <w:rPr>
          <w:rFonts w:cstheme="minorHAnsi"/>
        </w:rPr>
        <w:t>Up</w:t>
      </w:r>
      <w:proofErr w:type="gramEnd"/>
      <w:r w:rsidR="00E52000">
        <w:rPr>
          <w:rFonts w:cstheme="minorHAnsi"/>
        </w:rPr>
        <w:t xml:space="preserve"> to $50,000.00 year </w:t>
      </w:r>
      <w:r w:rsidR="002D506D">
        <w:rPr>
          <w:rFonts w:cstheme="minorHAnsi"/>
        </w:rPr>
        <w:t>two</w:t>
      </w:r>
      <w:r w:rsidR="00E52000">
        <w:rPr>
          <w:rFonts w:cstheme="minorHAnsi"/>
        </w:rPr>
        <w:t>)</w:t>
      </w:r>
    </w:p>
    <w:p w14:paraId="416598B8" w14:textId="77777777" w:rsidR="00177C41" w:rsidRPr="00E52000" w:rsidRDefault="00177C41" w:rsidP="00177C41">
      <w:pPr>
        <w:spacing w:after="0" w:line="240" w:lineRule="auto"/>
        <w:rPr>
          <w:rFonts w:cstheme="minorHAnsi"/>
          <w:u w:val="single"/>
        </w:rPr>
      </w:pPr>
      <w:hyperlink r:id="rId13" w:history="1">
        <w:r w:rsidRPr="00B21A4E">
          <w:rPr>
            <w:rStyle w:val="Hyperlink"/>
            <w:rFonts w:cstheme="minorHAnsi"/>
          </w:rPr>
          <w:t>High Growth and Emerging Technologies:</w:t>
        </w:r>
      </w:hyperlink>
    </w:p>
    <w:p w14:paraId="71A0ABCC" w14:textId="2F4D2E8F" w:rsidR="00E52000" w:rsidRPr="00E52000" w:rsidRDefault="00E52000" w:rsidP="00177C41">
      <w:pPr>
        <w:spacing w:after="0" w:line="240" w:lineRule="auto"/>
        <w:rPr>
          <w:rFonts w:cstheme="minorHAnsi"/>
        </w:rPr>
      </w:pPr>
      <w:r w:rsidRPr="00E52000">
        <w:rPr>
          <w:rFonts w:cstheme="minorHAnsi"/>
        </w:rPr>
        <w:t>The Oklahoma Department of Career and Technology Education supports the development and implementation of innovative high-tech, high-wage Career</w:t>
      </w:r>
      <w:r w:rsidRPr="00E52000">
        <w:rPr>
          <w:rFonts w:cstheme="minorHAnsi"/>
          <w:i/>
        </w:rPr>
        <w:t>Tech</w:t>
      </w:r>
      <w:r w:rsidRPr="00E52000">
        <w:rPr>
          <w:rFonts w:cstheme="minorHAnsi"/>
        </w:rPr>
        <w:t xml:space="preserve"> Academies, State Programs and sequence of courses that align with local, state, and global industry and emerging workforce needs.  The grant proposal should embrace rigorous academic and technical learning activities.</w:t>
      </w:r>
      <w:r>
        <w:rPr>
          <w:rFonts w:cstheme="minorHAnsi"/>
        </w:rPr>
        <w:t xml:space="preserve"> (Up to $50,000.00 year </w:t>
      </w:r>
      <w:r w:rsidR="002D506D">
        <w:rPr>
          <w:rFonts w:cstheme="minorHAnsi"/>
        </w:rPr>
        <w:t>one</w:t>
      </w:r>
      <w:r>
        <w:rPr>
          <w:rFonts w:cstheme="minorHAnsi"/>
        </w:rPr>
        <w:t xml:space="preserve">, </w:t>
      </w:r>
      <w:proofErr w:type="gramStart"/>
      <w:r>
        <w:rPr>
          <w:rFonts w:cstheme="minorHAnsi"/>
        </w:rPr>
        <w:t>Up</w:t>
      </w:r>
      <w:proofErr w:type="gramEnd"/>
      <w:r>
        <w:rPr>
          <w:rFonts w:cstheme="minorHAnsi"/>
        </w:rPr>
        <w:t xml:space="preserve"> to $50,000.00 year </w:t>
      </w:r>
      <w:r w:rsidR="002D506D">
        <w:rPr>
          <w:rFonts w:cstheme="minorHAnsi"/>
        </w:rPr>
        <w:t>two</w:t>
      </w:r>
      <w:r>
        <w:rPr>
          <w:rFonts w:cstheme="minorHAnsi"/>
        </w:rPr>
        <w:t>)</w:t>
      </w:r>
    </w:p>
    <w:p w14:paraId="3BEBB2F6" w14:textId="77777777" w:rsidR="00177C41" w:rsidRDefault="00177C41" w:rsidP="00177C41">
      <w:pPr>
        <w:spacing w:after="0" w:line="240" w:lineRule="auto"/>
        <w:rPr>
          <w:rFonts w:cstheme="minorHAnsi"/>
        </w:rPr>
      </w:pPr>
    </w:p>
    <w:p w14:paraId="64FEA723" w14:textId="77777777" w:rsidR="00E51E21" w:rsidRDefault="00E51E21" w:rsidP="00177C41">
      <w:pPr>
        <w:spacing w:after="0" w:line="240" w:lineRule="auto"/>
        <w:rPr>
          <w:rFonts w:cstheme="minorHAnsi"/>
        </w:rPr>
      </w:pPr>
    </w:p>
    <w:p w14:paraId="075B666F" w14:textId="77777777" w:rsidR="00E51E21" w:rsidRPr="00E52000" w:rsidRDefault="00E51E21" w:rsidP="00177C41">
      <w:pPr>
        <w:spacing w:after="0" w:line="240" w:lineRule="auto"/>
        <w:rPr>
          <w:rFonts w:cstheme="minorHAnsi"/>
        </w:rPr>
      </w:pPr>
    </w:p>
    <w:p w14:paraId="5C3D58F6" w14:textId="77777777" w:rsidR="00177C41" w:rsidRDefault="00177C41" w:rsidP="00177C41">
      <w:pPr>
        <w:spacing w:after="0" w:line="240" w:lineRule="auto"/>
      </w:pPr>
      <w:hyperlink r:id="rId14" w:history="1">
        <w:r w:rsidRPr="00B21A4E">
          <w:rPr>
            <w:rStyle w:val="Hyperlink"/>
            <w:rFonts w:cstheme="minorHAnsi"/>
          </w:rPr>
          <w:t>Innovation in Career Exploration:</w:t>
        </w:r>
      </w:hyperlink>
    </w:p>
    <w:p w14:paraId="297FCCC9" w14:textId="77777777" w:rsidR="00E51E21" w:rsidRPr="00E52000" w:rsidRDefault="00E51E21" w:rsidP="00177C41">
      <w:pPr>
        <w:spacing w:after="0" w:line="240" w:lineRule="auto"/>
        <w:rPr>
          <w:rFonts w:cstheme="minorHAnsi"/>
          <w:u w:val="single"/>
        </w:rPr>
      </w:pPr>
    </w:p>
    <w:p w14:paraId="40138084" w14:textId="174BD59B" w:rsidR="00E52000" w:rsidRDefault="00177C41" w:rsidP="00177C41">
      <w:pPr>
        <w:rPr>
          <w:rFonts w:cstheme="minorHAnsi"/>
        </w:rPr>
      </w:pPr>
      <w:r w:rsidRPr="00E52000">
        <w:rPr>
          <w:rFonts w:cstheme="minorHAnsi"/>
        </w:rPr>
        <w:t>Oklahoma Career and Technology Education</w:t>
      </w:r>
      <w:r w:rsidR="001D7660">
        <w:rPr>
          <w:rFonts w:cstheme="minorHAnsi"/>
        </w:rPr>
        <w:t xml:space="preserve"> </w:t>
      </w:r>
      <w:proofErr w:type="gramStart"/>
      <w:r w:rsidRPr="00E52000">
        <w:rPr>
          <w:rFonts w:cstheme="minorHAnsi"/>
        </w:rPr>
        <w:t>supports</w:t>
      </w:r>
      <w:proofErr w:type="gramEnd"/>
      <w:r w:rsidRPr="00E52000">
        <w:rPr>
          <w:rFonts w:cstheme="minorHAnsi"/>
        </w:rPr>
        <w:t xml:space="preserve"> innovative school improvement efforts to develop middle school STEM </w:t>
      </w:r>
      <w:r w:rsidR="001D7660" w:rsidRPr="00E52000">
        <w:rPr>
          <w:rFonts w:cstheme="minorHAnsi"/>
        </w:rPr>
        <w:t>exploration</w:t>
      </w:r>
      <w:r w:rsidRPr="00E52000">
        <w:rPr>
          <w:rFonts w:cstheme="minorHAnsi"/>
        </w:rPr>
        <w:t xml:space="preserve"> programs that lead to increasing academic rigor and student achievement.  STEM curriculum should provide project-based learning for the full range of students in grades seven and eight classrooms as well as career awareness and exploration activities for students in grades five, and six. (</w:t>
      </w:r>
      <w:r w:rsidR="00E52000">
        <w:rPr>
          <w:rFonts w:cstheme="minorHAnsi"/>
        </w:rPr>
        <w:t xml:space="preserve">Up to </w:t>
      </w:r>
      <w:r w:rsidRPr="00E52000">
        <w:rPr>
          <w:rFonts w:cstheme="minorHAnsi"/>
        </w:rPr>
        <w:t xml:space="preserve">$50,000.00 year </w:t>
      </w:r>
      <w:r w:rsidR="002D506D">
        <w:rPr>
          <w:rFonts w:cstheme="minorHAnsi"/>
        </w:rPr>
        <w:t>one</w:t>
      </w:r>
      <w:r w:rsidRPr="00E52000">
        <w:rPr>
          <w:rFonts w:cstheme="minorHAnsi"/>
        </w:rPr>
        <w:t xml:space="preserve">, </w:t>
      </w:r>
      <w:proofErr w:type="gramStart"/>
      <w:r w:rsidR="00E52000">
        <w:rPr>
          <w:rFonts w:cstheme="minorHAnsi"/>
        </w:rPr>
        <w:t>Up</w:t>
      </w:r>
      <w:proofErr w:type="gramEnd"/>
      <w:r w:rsidR="00E52000">
        <w:rPr>
          <w:rFonts w:cstheme="minorHAnsi"/>
        </w:rPr>
        <w:t xml:space="preserve"> to </w:t>
      </w:r>
      <w:r w:rsidRPr="00E52000">
        <w:rPr>
          <w:rFonts w:cstheme="minorHAnsi"/>
        </w:rPr>
        <w:t>$</w:t>
      </w:r>
      <w:r w:rsidR="00E32292">
        <w:rPr>
          <w:rFonts w:cstheme="minorHAnsi"/>
        </w:rPr>
        <w:t>50</w:t>
      </w:r>
      <w:r w:rsidRPr="00E52000">
        <w:rPr>
          <w:rFonts w:cstheme="minorHAnsi"/>
        </w:rPr>
        <w:t xml:space="preserve">,000.00 year </w:t>
      </w:r>
      <w:r w:rsidR="002D506D">
        <w:rPr>
          <w:rFonts w:cstheme="minorHAnsi"/>
        </w:rPr>
        <w:t>two</w:t>
      </w:r>
      <w:r w:rsidRPr="00E52000">
        <w:rPr>
          <w:rFonts w:cstheme="minorHAnsi"/>
        </w:rPr>
        <w:t>)</w:t>
      </w:r>
    </w:p>
    <w:p w14:paraId="47361355" w14:textId="6437F28E" w:rsidR="00E52000" w:rsidRPr="00E52000" w:rsidRDefault="00060667" w:rsidP="00E52000">
      <w:pPr>
        <w:spacing w:after="0" w:line="240" w:lineRule="auto"/>
        <w:rPr>
          <w:u w:val="single"/>
        </w:rPr>
      </w:pPr>
      <w:r w:rsidRPr="00060667">
        <w:rPr>
          <w:color w:val="2E74B5" w:themeColor="accent1" w:themeShade="BF"/>
          <w:u w:val="single"/>
        </w:rPr>
        <w:t xml:space="preserve">Innovative Strategies to Recruit and </w:t>
      </w:r>
      <w:r w:rsidRPr="00002129">
        <w:rPr>
          <w:color w:val="2E74B5" w:themeColor="accent1" w:themeShade="BF"/>
          <w:u w:val="single"/>
        </w:rPr>
        <w:t>Retain</w:t>
      </w:r>
      <w:r w:rsidR="003F5BDA">
        <w:rPr>
          <w:color w:val="2E74B5" w:themeColor="accent1" w:themeShade="BF"/>
          <w:u w:val="single"/>
        </w:rPr>
        <w:t xml:space="preserve"> CTE Instructors</w:t>
      </w:r>
      <w:r w:rsidR="00002129" w:rsidRPr="00002129">
        <w:rPr>
          <w:color w:val="2E74B5" w:themeColor="accent1" w:themeShade="BF"/>
          <w:u w:val="single"/>
        </w:rPr>
        <w:t xml:space="preserve"> - </w:t>
      </w:r>
      <w:hyperlink r:id="rId15" w:history="1">
        <w:r w:rsidR="00281ED0">
          <w:rPr>
            <w:rStyle w:val="Hyperlink"/>
          </w:rPr>
          <w:t>High</w:t>
        </w:r>
      </w:hyperlink>
      <w:r w:rsidR="00281ED0">
        <w:rPr>
          <w:rStyle w:val="Hyperlink"/>
        </w:rPr>
        <w:t xml:space="preserve"> Schools/Tech Centers That Work</w:t>
      </w:r>
      <w:r w:rsidR="00002129">
        <w:rPr>
          <w:rStyle w:val="Hyperlink"/>
        </w:rPr>
        <w:t>/Other</w:t>
      </w:r>
    </w:p>
    <w:p w14:paraId="00907362" w14:textId="6C8BEFDE" w:rsidR="00177C41" w:rsidRDefault="00B21A4E" w:rsidP="00177C41">
      <w:pPr>
        <w:spacing w:after="0" w:line="240" w:lineRule="auto"/>
        <w:rPr>
          <w:rFonts w:cstheme="minorHAnsi"/>
        </w:rPr>
      </w:pPr>
      <w:r w:rsidRPr="00B21A4E">
        <w:rPr>
          <w:rFonts w:eastAsia="Times New Roman" w:cstheme="minorHAnsi"/>
        </w:rPr>
        <w:t>In an ongoing effort to support the recruitment and retention of CTE teachers</w:t>
      </w:r>
      <w:r w:rsidR="00651A83">
        <w:rPr>
          <w:rFonts w:eastAsia="Times New Roman" w:cstheme="minorHAnsi"/>
        </w:rPr>
        <w:t>,</w:t>
      </w:r>
      <w:r w:rsidRPr="00B21A4E">
        <w:rPr>
          <w:rFonts w:eastAsia="Times New Roman" w:cstheme="minorHAnsi"/>
        </w:rPr>
        <w:t xml:space="preserve"> the Oklahoma Department of Career and Technology Education supports the development of new innovative strategies and the enhancement of existing strategies to recruit and retain Oklahoma’s CTE instructors.  The strategies developed with these funds should support a c</w:t>
      </w:r>
      <w:r w:rsidRPr="00B21A4E">
        <w:rPr>
          <w:rFonts w:cstheme="minorHAnsi"/>
        </w:rPr>
        <w:t xml:space="preserve">ulture of continuous improvement that engages the whole school community in continuously using data to identify problems and develop plans to solve them. </w:t>
      </w:r>
      <w:proofErr w:type="gramStart"/>
      <w:r w:rsidRPr="00B21A4E">
        <w:rPr>
          <w:rFonts w:cstheme="minorHAnsi"/>
        </w:rPr>
        <w:t>A</w:t>
      </w:r>
      <w:r w:rsidRPr="00B21A4E">
        <w:rPr>
          <w:rFonts w:eastAsia="Times New Roman" w:cstheme="minorHAnsi"/>
        </w:rPr>
        <w:t xml:space="preserve"> tool like</w:t>
      </w:r>
      <w:proofErr w:type="gramEnd"/>
      <w:r w:rsidRPr="00B21A4E">
        <w:rPr>
          <w:rFonts w:eastAsia="Times New Roman" w:cstheme="minorHAnsi"/>
        </w:rPr>
        <w:t xml:space="preserve"> strong school culture is important to the recruitment and </w:t>
      </w:r>
      <w:r w:rsidR="001D7660" w:rsidRPr="00B21A4E">
        <w:rPr>
          <w:rFonts w:eastAsia="Times New Roman" w:cstheme="minorHAnsi"/>
        </w:rPr>
        <w:t>retention of</w:t>
      </w:r>
      <w:r w:rsidRPr="00B21A4E">
        <w:rPr>
          <w:rFonts w:eastAsia="Times New Roman" w:cstheme="minorHAnsi"/>
        </w:rPr>
        <w:t xml:space="preserve"> CTE instructors in areas that meet local and state workforce needs</w:t>
      </w:r>
      <w:r w:rsidRPr="00B21A4E">
        <w:rPr>
          <w:rFonts w:eastAsia="Times New Roman" w:cstheme="minorHAnsi"/>
          <w:sz w:val="24"/>
          <w:szCs w:val="24"/>
        </w:rPr>
        <w:t xml:space="preserve"> </w:t>
      </w:r>
      <w:r w:rsidRPr="00B21A4E">
        <w:rPr>
          <w:rFonts w:eastAsia="Times New Roman" w:cstheme="minorHAnsi"/>
        </w:rPr>
        <w:t>while embracing innovative methods to support CTE instructors through rigorous professional development, continuing education, among other strategies</w:t>
      </w:r>
      <w:r>
        <w:rPr>
          <w:rFonts w:eastAsia="Times New Roman" w:cstheme="minorHAnsi"/>
        </w:rPr>
        <w:t xml:space="preserve">. </w:t>
      </w:r>
      <w:r w:rsidR="001D7660">
        <w:rPr>
          <w:rFonts w:eastAsia="Times New Roman" w:cstheme="minorHAnsi"/>
        </w:rPr>
        <w:t xml:space="preserve">HSTW &amp; TCTW grants must utilize 51% of funds on SREB resources or services. </w:t>
      </w:r>
      <w:r>
        <w:rPr>
          <w:rFonts w:cstheme="minorHAnsi"/>
        </w:rPr>
        <w:t xml:space="preserve">(Up to $20,000.00 year </w:t>
      </w:r>
      <w:r w:rsidR="002D506D">
        <w:rPr>
          <w:rFonts w:cstheme="minorHAnsi"/>
        </w:rPr>
        <w:t>one</w:t>
      </w:r>
      <w:r>
        <w:rPr>
          <w:rFonts w:cstheme="minorHAnsi"/>
        </w:rPr>
        <w:t xml:space="preserve">, </w:t>
      </w:r>
      <w:proofErr w:type="gramStart"/>
      <w:r>
        <w:rPr>
          <w:rFonts w:cstheme="minorHAnsi"/>
        </w:rPr>
        <w:t>Up</w:t>
      </w:r>
      <w:proofErr w:type="gramEnd"/>
      <w:r>
        <w:rPr>
          <w:rFonts w:cstheme="minorHAnsi"/>
        </w:rPr>
        <w:t xml:space="preserve"> to $</w:t>
      </w:r>
      <w:r w:rsidR="00E32292">
        <w:rPr>
          <w:rFonts w:cstheme="minorHAnsi"/>
        </w:rPr>
        <w:t>20</w:t>
      </w:r>
      <w:r>
        <w:rPr>
          <w:rFonts w:cstheme="minorHAnsi"/>
        </w:rPr>
        <w:t xml:space="preserve">,000.00 year </w:t>
      </w:r>
      <w:r w:rsidR="002D506D">
        <w:rPr>
          <w:rFonts w:cstheme="minorHAnsi"/>
        </w:rPr>
        <w:t>two</w:t>
      </w:r>
      <w:r>
        <w:rPr>
          <w:rFonts w:cstheme="minorHAnsi"/>
        </w:rPr>
        <w:t>)</w:t>
      </w:r>
    </w:p>
    <w:p w14:paraId="4918B41B" w14:textId="53C238B7" w:rsidR="002D506D" w:rsidRDefault="002D506D" w:rsidP="00177C41">
      <w:pPr>
        <w:spacing w:after="0" w:line="240" w:lineRule="auto"/>
        <w:rPr>
          <w:rFonts w:cstheme="minorHAnsi"/>
        </w:rPr>
      </w:pPr>
    </w:p>
    <w:p w14:paraId="54F58E04" w14:textId="44B96685" w:rsidR="002D506D" w:rsidRDefault="002D506D" w:rsidP="002D506D">
      <w:pPr>
        <w:spacing w:after="0" w:line="240" w:lineRule="auto"/>
        <w:rPr>
          <w:color w:val="2E74B5" w:themeColor="accent1" w:themeShade="BF"/>
          <w:u w:val="single"/>
        </w:rPr>
      </w:pPr>
      <w:r>
        <w:rPr>
          <w:color w:val="2E74B5" w:themeColor="accent1" w:themeShade="BF"/>
          <w:u w:val="single"/>
        </w:rPr>
        <w:t>CTE New Program:</w:t>
      </w:r>
    </w:p>
    <w:p w14:paraId="0CBED2F4" w14:textId="6F9107CF" w:rsidR="002D506D" w:rsidRDefault="002D506D" w:rsidP="002D506D">
      <w:pPr>
        <w:pStyle w:val="xmsonormal"/>
      </w:pPr>
      <w:r>
        <w:t xml:space="preserve">Oklahoma Department of Career and Technology Education (ODCTE) supports the implementation of quality CTE programs. The purpose of this grant is to provide startup funding for new CTE programs. This would include any program approved within the past three years. Applicants can only receive one grant within the </w:t>
      </w:r>
      <w:r w:rsidR="001D7660">
        <w:t>three-year</w:t>
      </w:r>
      <w:r>
        <w:t xml:space="preserve"> period. This grant will help overcome the cost barrier of implementing CTE programs by providing schools with funding to purchase necessary equipment and resources to increase enrollments and opportunities for students statewide. (Up to $25,000. One year grant)</w:t>
      </w:r>
    </w:p>
    <w:p w14:paraId="6926F61E" w14:textId="77777777" w:rsidR="002D506D" w:rsidRDefault="002D506D" w:rsidP="002D506D">
      <w:pPr>
        <w:pStyle w:val="xmsonormal"/>
      </w:pPr>
    </w:p>
    <w:p w14:paraId="65D7277D" w14:textId="54BBE13F" w:rsidR="002D506D" w:rsidRDefault="002D506D" w:rsidP="002D506D">
      <w:pPr>
        <w:spacing w:after="0" w:line="240" w:lineRule="auto"/>
        <w:rPr>
          <w:color w:val="2E74B5" w:themeColor="accent1" w:themeShade="BF"/>
          <w:u w:val="single"/>
        </w:rPr>
      </w:pPr>
      <w:r>
        <w:rPr>
          <w:color w:val="2E74B5" w:themeColor="accent1" w:themeShade="BF"/>
          <w:u w:val="single"/>
        </w:rPr>
        <w:t>Improving Academic Proficiency:</w:t>
      </w:r>
    </w:p>
    <w:p w14:paraId="785B0DE3" w14:textId="77777777" w:rsidR="002D506D" w:rsidRDefault="002D506D" w:rsidP="002D506D">
      <w:pPr>
        <w:pStyle w:val="xmsonormal"/>
      </w:pPr>
      <w:r>
        <w:t xml:space="preserve">The Oklahoma Department of Career and Technology Education (ODCTE) is committed to improving the academic proficiency of CTE students.  This grant is designed to increase academic outcomes in English Language Arts, Science, and/or Mathematics.  Funds are provided so that schools can implement innovative strategies to improve academic performance. (Up to $25,000 for year one, </w:t>
      </w:r>
      <w:proofErr w:type="gramStart"/>
      <w:r>
        <w:t>Up</w:t>
      </w:r>
      <w:proofErr w:type="gramEnd"/>
      <w:r>
        <w:t xml:space="preserve"> to $25,000 for year two) </w:t>
      </w:r>
    </w:p>
    <w:p w14:paraId="179EC706" w14:textId="77777777" w:rsidR="002D506D" w:rsidRPr="002D506D" w:rsidRDefault="002D506D" w:rsidP="002D506D">
      <w:pPr>
        <w:spacing w:after="0" w:line="240" w:lineRule="auto"/>
      </w:pPr>
    </w:p>
    <w:p w14:paraId="5D069434" w14:textId="77777777" w:rsidR="002D506D" w:rsidRPr="00B21A4E" w:rsidRDefault="002D506D" w:rsidP="00177C41">
      <w:pPr>
        <w:spacing w:after="0" w:line="240" w:lineRule="auto"/>
        <w:rPr>
          <w:rFonts w:cstheme="minorHAnsi"/>
        </w:rPr>
      </w:pPr>
    </w:p>
    <w:sectPr w:rsidR="002D506D" w:rsidRPr="00B21A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36778"/>
    <w:multiLevelType w:val="hybridMultilevel"/>
    <w:tmpl w:val="63066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6B24B4"/>
    <w:multiLevelType w:val="hybridMultilevel"/>
    <w:tmpl w:val="741EF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5826593">
    <w:abstractNumId w:val="0"/>
  </w:num>
  <w:num w:numId="2" w16cid:durableId="1633829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1F6"/>
    <w:rsid w:val="00002129"/>
    <w:rsid w:val="00060667"/>
    <w:rsid w:val="00091327"/>
    <w:rsid w:val="00121473"/>
    <w:rsid w:val="00123101"/>
    <w:rsid w:val="00177C41"/>
    <w:rsid w:val="001C4884"/>
    <w:rsid w:val="001D7660"/>
    <w:rsid w:val="001E1F49"/>
    <w:rsid w:val="00261D3B"/>
    <w:rsid w:val="00281ED0"/>
    <w:rsid w:val="002D506D"/>
    <w:rsid w:val="003048B5"/>
    <w:rsid w:val="0031623B"/>
    <w:rsid w:val="00394B2C"/>
    <w:rsid w:val="003B4BAA"/>
    <w:rsid w:val="003F5BDA"/>
    <w:rsid w:val="00611B14"/>
    <w:rsid w:val="00651411"/>
    <w:rsid w:val="00651A83"/>
    <w:rsid w:val="00724974"/>
    <w:rsid w:val="0081497A"/>
    <w:rsid w:val="00815B42"/>
    <w:rsid w:val="008C5629"/>
    <w:rsid w:val="00AB5803"/>
    <w:rsid w:val="00AC068A"/>
    <w:rsid w:val="00AF2372"/>
    <w:rsid w:val="00B21A4E"/>
    <w:rsid w:val="00B46ADA"/>
    <w:rsid w:val="00BC2A33"/>
    <w:rsid w:val="00C16D60"/>
    <w:rsid w:val="00C25380"/>
    <w:rsid w:val="00C611CA"/>
    <w:rsid w:val="00C83DED"/>
    <w:rsid w:val="00CB1FF0"/>
    <w:rsid w:val="00CF6B64"/>
    <w:rsid w:val="00D55035"/>
    <w:rsid w:val="00E003CC"/>
    <w:rsid w:val="00E32292"/>
    <w:rsid w:val="00E464F6"/>
    <w:rsid w:val="00E51E21"/>
    <w:rsid w:val="00E52000"/>
    <w:rsid w:val="00EC31F6"/>
    <w:rsid w:val="00FB469B"/>
    <w:rsid w:val="00FB4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C3FAD"/>
  <w15:chartTrackingRefBased/>
  <w15:docId w15:val="{8D02A4BA-1E96-404D-B537-FC7D82842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1F6"/>
    <w:pPr>
      <w:ind w:left="720"/>
      <w:contextualSpacing/>
    </w:pPr>
  </w:style>
  <w:style w:type="character" w:styleId="Hyperlink">
    <w:name w:val="Hyperlink"/>
    <w:basedOn w:val="DefaultParagraphFont"/>
    <w:uiPriority w:val="99"/>
    <w:unhideWhenUsed/>
    <w:rsid w:val="00B21A4E"/>
    <w:rPr>
      <w:color w:val="0563C1" w:themeColor="hyperlink"/>
      <w:u w:val="single"/>
    </w:rPr>
  </w:style>
  <w:style w:type="paragraph" w:customStyle="1" w:styleId="xmsonormal">
    <w:name w:val="x_msonormal"/>
    <w:basedOn w:val="Normal"/>
    <w:rsid w:val="002D506D"/>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E51E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3851">
      <w:bodyDiv w:val="1"/>
      <w:marLeft w:val="0"/>
      <w:marRight w:val="0"/>
      <w:marTop w:val="0"/>
      <w:marBottom w:val="0"/>
      <w:divBdr>
        <w:top w:val="none" w:sz="0" w:space="0" w:color="auto"/>
        <w:left w:val="none" w:sz="0" w:space="0" w:color="auto"/>
        <w:bottom w:val="none" w:sz="0" w:space="0" w:color="auto"/>
        <w:right w:val="none" w:sz="0" w:space="0" w:color="auto"/>
      </w:divBdr>
    </w:div>
    <w:div w:id="74391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okcareertech.org/about/state-agency/divisions/federal-legislation-assistance/carl-perkins/innovation-grant-resources/documents/FY21_High_Growth_and_Emerging_Technologies_Perkins_Innovation_Grant.doc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kcareertech.org/about/state-agency/divisions/federal-legislation-assistance/carl-perkins/innovation-grant-resources/documents/FY21_Supporting%20CTE%20Special%20Populations_Innovation_Grant.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kcareertech.org/about/state-agency/divisions/federal-legislation-assistance/carl-perkins/innovation-grant-resources/documents/FY21%20Career%20Pathways-%20Workforce%20and%20Industry%20Partnerships%20Perkins%20Innovation%20Grant.docx" TargetMode="External"/><Relationship Id="rId5" Type="http://schemas.openxmlformats.org/officeDocument/2006/relationships/styles" Target="styles.xml"/><Relationship Id="rId15" Type="http://schemas.openxmlformats.org/officeDocument/2006/relationships/hyperlink" Target="https://www.okcareertech.org/about/state-agency/divisions/federal-legislation-assistance/carl-perkins/innovation-grant-resources/documents/FY21%20Innovative%20Strategies%20for%20Recruitment%20and%20Retention%20of%20Teachers%20in%20the%20CTE%20System%20-%20Perkins%20Innovation%20Grant.docx" TargetMode="External"/><Relationship Id="rId10" Type="http://schemas.openxmlformats.org/officeDocument/2006/relationships/hyperlink" Target="https://www.okcareertech.org/about/state-agency/divisions/federal-legislation-assistance/carl-perkins/innovation-grant-resources/documents/FY21%20Career%20Development%20and%20POS%20Perkins%20Innovation%20Grant.docx" TargetMode="External"/><Relationship Id="rId4" Type="http://schemas.openxmlformats.org/officeDocument/2006/relationships/numbering" Target="numbering.xml"/><Relationship Id="rId9" Type="http://schemas.openxmlformats.org/officeDocument/2006/relationships/hyperlink" Target="https://oklahoma.gov/careertech/educators/perkins/allocations.html" TargetMode="External"/><Relationship Id="rId14" Type="http://schemas.openxmlformats.org/officeDocument/2006/relationships/hyperlink" Target="https://www.okcareertech.org/about/state-agency/divisions/federal-legislation-assistance/carl-perkins/innovation-grant-resources/documents/FY21_Innovation%20in%20Career%20Exploration_Perkins_Innovation_Gran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8ADFD0ADFD35479463E3F671804002" ma:contentTypeVersion="11" ma:contentTypeDescription="Create a new document." ma:contentTypeScope="" ma:versionID="f805c7f2c90b52f23ff9d6252f208ea8">
  <xsd:schema xmlns:xsd="http://www.w3.org/2001/XMLSchema" xmlns:xs="http://www.w3.org/2001/XMLSchema" xmlns:p="http://schemas.microsoft.com/office/2006/metadata/properties" xmlns:ns1="http://schemas.microsoft.com/sharepoint/v3" xmlns:ns3="06b38fde-8c44-47b8-b5bc-0dda074e40dd" targetNamespace="http://schemas.microsoft.com/office/2006/metadata/properties" ma:root="true" ma:fieldsID="2d9951b7ee6785e151568b2d65f16c80" ns1:_="" ns3:_="">
    <xsd:import namespace="http://schemas.microsoft.com/sharepoint/v3"/>
    <xsd:import namespace="06b38fde-8c44-47b8-b5bc-0dda074e40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b38fde-8c44-47b8-b5bc-0dda074e4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C8DDB06-83D0-45C2-B899-AB1FFDAC5F51}">
  <ds:schemaRefs>
    <ds:schemaRef ds:uri="http://schemas.microsoft.com/sharepoint/v3/contenttype/forms"/>
  </ds:schemaRefs>
</ds:datastoreItem>
</file>

<file path=customXml/itemProps2.xml><?xml version="1.0" encoding="utf-8"?>
<ds:datastoreItem xmlns:ds="http://schemas.openxmlformats.org/officeDocument/2006/customXml" ds:itemID="{84288174-43D1-422C-9835-3CA978AEB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b38fde-8c44-47b8-b5bc-0dda074e4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3455A-8049-432A-9422-01AC341D950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886</TotalTime>
  <Pages>3</Pages>
  <Words>1435</Words>
  <Characters>8184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Miller</dc:creator>
  <cp:keywords/>
  <dc:description/>
  <cp:lastModifiedBy>Jordan Duck</cp:lastModifiedBy>
  <cp:revision>26</cp:revision>
  <cp:lastPrinted>2022-11-16T16:23:00Z</cp:lastPrinted>
  <dcterms:created xsi:type="dcterms:W3CDTF">2020-08-07T17:16:00Z</dcterms:created>
  <dcterms:modified xsi:type="dcterms:W3CDTF">2025-11-10T17:56:00Z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0x010100A98ADFD0ADFD35479463E3F671804002</vt:lpwstr>
  </property>
</Properties>
</file>